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ED1" w:rsidRPr="00D20919" w:rsidRDefault="00AC7113" w:rsidP="003956F5">
      <w:pPr>
        <w:jc w:val="center"/>
        <w:rPr>
          <w:rFonts w:ascii="Times New Roman" w:hAnsi="Times New Roman" w:cs="Times New Roman"/>
          <w:b/>
          <w:sz w:val="24"/>
          <w:szCs w:val="24"/>
        </w:rPr>
      </w:pPr>
      <w:r w:rsidRPr="00D20919">
        <w:rPr>
          <w:rFonts w:ascii="Times New Roman" w:hAnsi="Times New Roman" w:cs="Times New Roman"/>
          <w:b/>
          <w:sz w:val="24"/>
          <w:szCs w:val="24"/>
        </w:rPr>
        <w:t>TEMATISKO KONTROĻU „</w:t>
      </w:r>
      <w:r>
        <w:rPr>
          <w:rFonts w:ascii="Times New Roman" w:hAnsi="Times New Roman" w:cs="Times New Roman"/>
          <w:b/>
          <w:sz w:val="24"/>
          <w:szCs w:val="24"/>
        </w:rPr>
        <w:t>PILNS PLAUKTS” REZULTĀTI</w:t>
      </w:r>
    </w:p>
    <w:p w:rsidR="00F21C14" w:rsidRDefault="00F21C14" w:rsidP="00F21C14">
      <w:pPr>
        <w:spacing w:after="60" w:line="240" w:lineRule="auto"/>
        <w:ind w:firstLine="567"/>
        <w:jc w:val="both"/>
        <w:rPr>
          <w:rFonts w:ascii="Times New Roman" w:hAnsi="Times New Roman" w:cs="Times New Roman"/>
          <w:sz w:val="24"/>
          <w:szCs w:val="24"/>
        </w:rPr>
      </w:pPr>
    </w:p>
    <w:p w:rsidR="0012176D" w:rsidRDefault="00427702" w:rsidP="00F27B02">
      <w:pPr>
        <w:keepNext/>
        <w:ind w:firstLine="567"/>
        <w:jc w:val="center"/>
        <w:rPr>
          <w:rFonts w:ascii="Times New Roman" w:hAnsi="Times New Roman" w:cs="Times New Roman"/>
          <w:b/>
          <w:sz w:val="24"/>
          <w:szCs w:val="24"/>
        </w:rPr>
      </w:pPr>
      <w:r w:rsidRPr="0012176D">
        <w:rPr>
          <w:rFonts w:ascii="Times New Roman" w:hAnsi="Times New Roman" w:cs="Times New Roman"/>
          <w:b/>
          <w:sz w:val="24"/>
          <w:szCs w:val="24"/>
        </w:rPr>
        <w:t>KOSMĒTIKAS LĪDZEKĻI</w:t>
      </w:r>
    </w:p>
    <w:p w:rsidR="00766C0B" w:rsidRDefault="00852CD4" w:rsidP="00BC40D2">
      <w:pPr>
        <w:spacing w:after="6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„Pilnā plaukta” kontroļu laikā </w:t>
      </w:r>
      <w:r w:rsidR="00684A61">
        <w:rPr>
          <w:rFonts w:ascii="Times New Roman" w:hAnsi="Times New Roman" w:cs="Times New Roman"/>
          <w:sz w:val="24"/>
          <w:szCs w:val="24"/>
        </w:rPr>
        <w:t xml:space="preserve">sešos mazumtirdzniecības tīklu veikalos </w:t>
      </w:r>
      <w:r w:rsidR="00E65C04">
        <w:rPr>
          <w:rFonts w:ascii="Times New Roman" w:hAnsi="Times New Roman" w:cs="Times New Roman"/>
          <w:sz w:val="24"/>
          <w:szCs w:val="24"/>
        </w:rPr>
        <w:t>k</w:t>
      </w:r>
      <w:r w:rsidR="004B1C80">
        <w:rPr>
          <w:rFonts w:ascii="Times New Roman" w:hAnsi="Times New Roman" w:cs="Times New Roman"/>
          <w:sz w:val="24"/>
          <w:szCs w:val="24"/>
        </w:rPr>
        <w:t xml:space="preserve">opskaitā </w:t>
      </w:r>
      <w:r w:rsidR="00684A61">
        <w:rPr>
          <w:rFonts w:ascii="Times New Roman" w:hAnsi="Times New Roman" w:cs="Times New Roman"/>
          <w:sz w:val="24"/>
          <w:szCs w:val="24"/>
        </w:rPr>
        <w:t xml:space="preserve">konstatētas un </w:t>
      </w:r>
      <w:r w:rsidR="004B1C80">
        <w:rPr>
          <w:rFonts w:ascii="Times New Roman" w:hAnsi="Times New Roman" w:cs="Times New Roman"/>
          <w:sz w:val="24"/>
          <w:szCs w:val="24"/>
        </w:rPr>
        <w:t xml:space="preserve">kontrolētas 408 </w:t>
      </w:r>
      <w:r w:rsidR="00E65C04">
        <w:rPr>
          <w:rFonts w:ascii="Times New Roman" w:hAnsi="Times New Roman" w:cs="Times New Roman"/>
          <w:sz w:val="24"/>
          <w:szCs w:val="24"/>
        </w:rPr>
        <w:t xml:space="preserve">dažādas </w:t>
      </w:r>
      <w:r w:rsidR="004B1C80">
        <w:rPr>
          <w:rFonts w:ascii="Times New Roman" w:hAnsi="Times New Roman" w:cs="Times New Roman"/>
          <w:sz w:val="24"/>
          <w:szCs w:val="24"/>
        </w:rPr>
        <w:t xml:space="preserve">zobu pastas. </w:t>
      </w:r>
      <w:r w:rsidR="00D522E7">
        <w:rPr>
          <w:rFonts w:ascii="Times New Roman" w:hAnsi="Times New Roman" w:cs="Times New Roman"/>
          <w:sz w:val="24"/>
          <w:szCs w:val="24"/>
        </w:rPr>
        <w:t xml:space="preserve">No tām </w:t>
      </w:r>
      <w:r w:rsidR="0012176D">
        <w:rPr>
          <w:rFonts w:ascii="Times New Roman" w:hAnsi="Times New Roman" w:cs="Times New Roman"/>
          <w:sz w:val="24"/>
          <w:szCs w:val="24"/>
        </w:rPr>
        <w:t>92 zobu pastas kont</w:t>
      </w:r>
      <w:r w:rsidR="000B6855">
        <w:rPr>
          <w:rFonts w:ascii="Times New Roman" w:hAnsi="Times New Roman" w:cs="Times New Roman"/>
          <w:sz w:val="24"/>
          <w:szCs w:val="24"/>
        </w:rPr>
        <w:t xml:space="preserve">rolētas vairāk kā vienā veikalā, pārējās 316 bija </w:t>
      </w:r>
      <w:r w:rsidR="00E65C04">
        <w:rPr>
          <w:rFonts w:ascii="Times New Roman" w:hAnsi="Times New Roman" w:cs="Times New Roman"/>
          <w:sz w:val="24"/>
          <w:szCs w:val="24"/>
        </w:rPr>
        <w:t xml:space="preserve">piedāvājumā </w:t>
      </w:r>
      <w:r w:rsidR="000B6855">
        <w:rPr>
          <w:rFonts w:ascii="Times New Roman" w:hAnsi="Times New Roman" w:cs="Times New Roman"/>
          <w:sz w:val="24"/>
          <w:szCs w:val="24"/>
        </w:rPr>
        <w:t xml:space="preserve">tikai vienā veikalā. </w:t>
      </w:r>
      <w:r w:rsidR="00D522E7">
        <w:rPr>
          <w:rFonts w:ascii="Times New Roman" w:hAnsi="Times New Roman" w:cs="Times New Roman"/>
          <w:sz w:val="24"/>
          <w:szCs w:val="24"/>
        </w:rPr>
        <w:t xml:space="preserve">Lietošanai bērniem paredzētas </w:t>
      </w:r>
      <w:r w:rsidR="00FA66EB">
        <w:rPr>
          <w:rFonts w:ascii="Times New Roman" w:hAnsi="Times New Roman" w:cs="Times New Roman"/>
          <w:sz w:val="24"/>
          <w:szCs w:val="24"/>
        </w:rPr>
        <w:t xml:space="preserve">105 (26%) </w:t>
      </w:r>
      <w:r w:rsidR="00D522E7">
        <w:rPr>
          <w:rFonts w:ascii="Times New Roman" w:hAnsi="Times New Roman" w:cs="Times New Roman"/>
          <w:sz w:val="24"/>
          <w:szCs w:val="24"/>
        </w:rPr>
        <w:t>no kontrolētajām zobu pastām</w:t>
      </w:r>
      <w:r w:rsidR="00FA66EB">
        <w:rPr>
          <w:rFonts w:ascii="Times New Roman" w:hAnsi="Times New Roman" w:cs="Times New Roman"/>
          <w:sz w:val="24"/>
          <w:szCs w:val="24"/>
        </w:rPr>
        <w:t>.</w:t>
      </w:r>
      <w:r w:rsidR="00021BCB">
        <w:rPr>
          <w:rFonts w:ascii="Times New Roman" w:hAnsi="Times New Roman" w:cs="Times New Roman"/>
          <w:sz w:val="24"/>
          <w:szCs w:val="24"/>
        </w:rPr>
        <w:t xml:space="preserve"> </w:t>
      </w:r>
      <w:r w:rsidR="00D522E7">
        <w:rPr>
          <w:rFonts w:ascii="Times New Roman" w:hAnsi="Times New Roman" w:cs="Times New Roman"/>
          <w:sz w:val="24"/>
          <w:szCs w:val="24"/>
        </w:rPr>
        <w:t>T</w:t>
      </w:r>
      <w:r w:rsidR="00766C0B">
        <w:rPr>
          <w:rFonts w:ascii="Times New Roman" w:hAnsi="Times New Roman" w:cs="Times New Roman"/>
          <w:sz w:val="24"/>
          <w:szCs w:val="24"/>
        </w:rPr>
        <w:t xml:space="preserve">ikai četrām </w:t>
      </w:r>
      <w:r w:rsidR="00D522E7">
        <w:rPr>
          <w:rFonts w:ascii="Times New Roman" w:hAnsi="Times New Roman" w:cs="Times New Roman"/>
          <w:sz w:val="24"/>
          <w:szCs w:val="24"/>
        </w:rPr>
        <w:t xml:space="preserve">no kontrolētajām 408 zobu pastām </w:t>
      </w:r>
      <w:r w:rsidR="00766C0B">
        <w:rPr>
          <w:rFonts w:ascii="Times New Roman" w:hAnsi="Times New Roman" w:cs="Times New Roman"/>
          <w:sz w:val="24"/>
          <w:szCs w:val="24"/>
        </w:rPr>
        <w:t xml:space="preserve">ražotājs ir Latvijas uzņēmums, importētas Latvijā 112 (27%), bet izplatītas (iepirktas no citām ES valstīm) – 292 (72%) zobu pastas. </w:t>
      </w:r>
      <w:r w:rsidR="00D522E7">
        <w:rPr>
          <w:rFonts w:ascii="Times New Roman" w:hAnsi="Times New Roman" w:cs="Times New Roman"/>
          <w:sz w:val="24"/>
          <w:szCs w:val="24"/>
        </w:rPr>
        <w:t>Kontrolēto zobu pastu</w:t>
      </w:r>
      <w:r w:rsidR="00BC40D2">
        <w:rPr>
          <w:rFonts w:ascii="Times New Roman" w:hAnsi="Times New Roman" w:cs="Times New Roman"/>
          <w:sz w:val="24"/>
          <w:szCs w:val="24"/>
        </w:rPr>
        <w:t xml:space="preserve"> izcelsmes valsts </w:t>
      </w:r>
      <w:r w:rsidR="00D522E7">
        <w:rPr>
          <w:rFonts w:ascii="Times New Roman" w:hAnsi="Times New Roman" w:cs="Times New Roman"/>
          <w:sz w:val="24"/>
          <w:szCs w:val="24"/>
        </w:rPr>
        <w:t xml:space="preserve">visbiežāk </w:t>
      </w:r>
      <w:r w:rsidR="00BC40D2">
        <w:rPr>
          <w:rFonts w:ascii="Times New Roman" w:hAnsi="Times New Roman" w:cs="Times New Roman"/>
          <w:sz w:val="24"/>
          <w:szCs w:val="24"/>
        </w:rPr>
        <w:t>ir Krievija (24%),</w:t>
      </w:r>
      <w:r w:rsidR="00D22AFC">
        <w:rPr>
          <w:rFonts w:ascii="Times New Roman" w:hAnsi="Times New Roman" w:cs="Times New Roman"/>
          <w:sz w:val="24"/>
          <w:szCs w:val="24"/>
        </w:rPr>
        <w:t xml:space="preserve"> Vācija (20%) un Polija (15%) (7</w:t>
      </w:r>
      <w:r w:rsidR="00BC40D2">
        <w:rPr>
          <w:rFonts w:ascii="Times New Roman" w:hAnsi="Times New Roman" w:cs="Times New Roman"/>
          <w:sz w:val="24"/>
          <w:szCs w:val="24"/>
        </w:rPr>
        <w:t>.attēls).</w:t>
      </w:r>
    </w:p>
    <w:p w:rsidR="00DE7B8E" w:rsidRDefault="00DE7B8E" w:rsidP="00194BED">
      <w:pPr>
        <w:spacing w:after="60" w:line="240" w:lineRule="auto"/>
        <w:ind w:firstLine="567"/>
        <w:jc w:val="both"/>
        <w:rPr>
          <w:rFonts w:ascii="Times New Roman" w:hAnsi="Times New Roman" w:cs="Times New Roman"/>
          <w:sz w:val="24"/>
          <w:szCs w:val="24"/>
        </w:rPr>
      </w:pPr>
    </w:p>
    <w:p w:rsidR="00637273" w:rsidRPr="001F093E" w:rsidRDefault="003A65EB">
      <w:pPr>
        <w:rPr>
          <w:rFonts w:ascii="Times New Roman" w:hAnsi="Times New Roman" w:cs="Times New Roman"/>
          <w:sz w:val="24"/>
          <w:szCs w:val="24"/>
        </w:rPr>
      </w:pPr>
      <w:r w:rsidRPr="003A65EB">
        <w:rPr>
          <w:rFonts w:ascii="Times New Roman" w:hAnsi="Times New Roman" w:cs="Times New Roman"/>
          <w:noProof/>
          <w:sz w:val="24"/>
          <w:szCs w:val="24"/>
          <w:lang w:val="en-US"/>
        </w:rPr>
        <w:drawing>
          <wp:inline distT="0" distB="0" distL="0" distR="0">
            <wp:extent cx="5275827" cy="2524715"/>
            <wp:effectExtent l="19050" t="0" r="20073" b="8935"/>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637273" w:rsidRDefault="00D22AFC" w:rsidP="00637273">
      <w:pPr>
        <w:rPr>
          <w:rFonts w:ascii="Times New Roman" w:hAnsi="Times New Roman" w:cs="Times New Roman"/>
          <w:sz w:val="24"/>
          <w:szCs w:val="24"/>
        </w:rPr>
      </w:pPr>
      <w:r>
        <w:rPr>
          <w:rFonts w:ascii="Times New Roman" w:hAnsi="Times New Roman" w:cs="Times New Roman"/>
          <w:sz w:val="24"/>
          <w:szCs w:val="24"/>
        </w:rPr>
        <w:t>7</w:t>
      </w:r>
      <w:r w:rsidR="00637273">
        <w:rPr>
          <w:rFonts w:ascii="Times New Roman" w:hAnsi="Times New Roman" w:cs="Times New Roman"/>
          <w:sz w:val="24"/>
          <w:szCs w:val="24"/>
        </w:rPr>
        <w:t>.</w:t>
      </w:r>
      <w:r w:rsidR="00690A33">
        <w:rPr>
          <w:rFonts w:ascii="Times New Roman" w:hAnsi="Times New Roman" w:cs="Times New Roman"/>
          <w:sz w:val="24"/>
          <w:szCs w:val="24"/>
        </w:rPr>
        <w:t xml:space="preserve"> </w:t>
      </w:r>
      <w:r w:rsidR="00637273">
        <w:rPr>
          <w:rFonts w:ascii="Times New Roman" w:hAnsi="Times New Roman" w:cs="Times New Roman"/>
          <w:sz w:val="24"/>
          <w:szCs w:val="24"/>
        </w:rPr>
        <w:t>attēls. Kontrolēto zobu pastu izcelsme.</w:t>
      </w:r>
    </w:p>
    <w:p w:rsidR="00733E1D" w:rsidRPr="00B22F69" w:rsidRDefault="00733E1D" w:rsidP="00194BED">
      <w:pPr>
        <w:spacing w:after="60" w:line="240" w:lineRule="auto"/>
        <w:ind w:firstLine="567"/>
        <w:jc w:val="both"/>
        <w:rPr>
          <w:rFonts w:ascii="Times New Roman" w:hAnsi="Times New Roman" w:cs="Times New Roman"/>
          <w:sz w:val="24"/>
          <w:szCs w:val="24"/>
        </w:rPr>
      </w:pPr>
      <w:r w:rsidRPr="00B22F69">
        <w:rPr>
          <w:rFonts w:ascii="Times New Roman" w:hAnsi="Times New Roman" w:cs="Times New Roman"/>
          <w:iCs/>
          <w:sz w:val="24"/>
          <w:szCs w:val="24"/>
        </w:rPr>
        <w:t xml:space="preserve">Kontrolēs inspektori izvērtējot zobu pastu oriģinālajā un latviešu valodā </w:t>
      </w:r>
      <w:r w:rsidR="00A66FDC" w:rsidRPr="00B22F69">
        <w:rPr>
          <w:rFonts w:ascii="Times New Roman" w:hAnsi="Times New Roman" w:cs="Times New Roman"/>
          <w:iCs/>
          <w:sz w:val="24"/>
          <w:szCs w:val="24"/>
        </w:rPr>
        <w:t>sniegto</w:t>
      </w:r>
      <w:r w:rsidRPr="00B22F69">
        <w:rPr>
          <w:rFonts w:ascii="Times New Roman" w:hAnsi="Times New Roman" w:cs="Times New Roman"/>
          <w:iCs/>
          <w:sz w:val="24"/>
          <w:szCs w:val="24"/>
        </w:rPr>
        <w:t xml:space="preserve"> informāciju, pārbaudīja atbilstību </w:t>
      </w:r>
      <w:r w:rsidRPr="00B22F69">
        <w:rPr>
          <w:rFonts w:ascii="Times New Roman" w:hAnsi="Times New Roman" w:cs="Times New Roman"/>
          <w:sz w:val="24"/>
          <w:szCs w:val="24"/>
        </w:rPr>
        <w:t xml:space="preserve">Regulas Nr.1223/2009 </w:t>
      </w:r>
      <w:r w:rsidR="00B22F69" w:rsidRPr="00B22F69">
        <w:rPr>
          <w:rFonts w:ascii="Times New Roman" w:hAnsi="Times New Roman" w:cs="Times New Roman"/>
          <w:sz w:val="24"/>
          <w:szCs w:val="24"/>
        </w:rPr>
        <w:t>par kosmētikas līdzekļiem (turpmāk – Regula Nr.</w:t>
      </w:r>
      <w:r w:rsidR="00BE4C38">
        <w:rPr>
          <w:rFonts w:ascii="Times New Roman" w:hAnsi="Times New Roman" w:cs="Times New Roman"/>
          <w:sz w:val="24"/>
          <w:szCs w:val="24"/>
        </w:rPr>
        <w:t> </w:t>
      </w:r>
      <w:r w:rsidR="00B22F69" w:rsidRPr="00B22F69">
        <w:rPr>
          <w:rFonts w:ascii="Times New Roman" w:hAnsi="Times New Roman" w:cs="Times New Roman"/>
          <w:sz w:val="24"/>
          <w:szCs w:val="24"/>
        </w:rPr>
        <w:t xml:space="preserve">1223/2009) un Komisijas regulas </w:t>
      </w:r>
      <w:r w:rsidR="00B22F69" w:rsidRPr="00766C0B">
        <w:rPr>
          <w:rFonts w:ascii="Times New Roman" w:hAnsi="Times New Roman" w:cs="Times New Roman"/>
          <w:sz w:val="24"/>
          <w:szCs w:val="24"/>
        </w:rPr>
        <w:t>Nr.</w:t>
      </w:r>
      <w:r w:rsidR="00BE4C38">
        <w:rPr>
          <w:rFonts w:ascii="Times New Roman" w:hAnsi="Times New Roman" w:cs="Times New Roman"/>
          <w:sz w:val="24"/>
          <w:szCs w:val="24"/>
        </w:rPr>
        <w:t> </w:t>
      </w:r>
      <w:r w:rsidR="00B22F69" w:rsidRPr="00766C0B">
        <w:rPr>
          <w:rFonts w:ascii="Times New Roman" w:hAnsi="Times New Roman" w:cs="Times New Roman"/>
          <w:sz w:val="24"/>
          <w:szCs w:val="24"/>
        </w:rPr>
        <w:t>655/2013</w:t>
      </w:r>
      <w:r w:rsidR="00B22F69" w:rsidRPr="00B22F69">
        <w:rPr>
          <w:rFonts w:ascii="Times New Roman" w:hAnsi="Times New Roman" w:cs="Times New Roman"/>
          <w:sz w:val="24"/>
          <w:szCs w:val="24"/>
        </w:rPr>
        <w:t>, ar ko nosaka kopējus kritērijus tādu apgalvojumu pamatojumam,  kas attiecas uz kosmētikas līdzekļiem</w:t>
      </w:r>
      <w:r w:rsidR="00A66FDC">
        <w:rPr>
          <w:rFonts w:ascii="Times New Roman" w:hAnsi="Times New Roman" w:cs="Times New Roman"/>
          <w:sz w:val="24"/>
          <w:szCs w:val="24"/>
        </w:rPr>
        <w:t xml:space="preserve"> (turpmāk – Regula Nr.655/2013)</w:t>
      </w:r>
      <w:r w:rsidR="00B22F69" w:rsidRPr="00B22F69">
        <w:rPr>
          <w:rFonts w:ascii="Times New Roman" w:hAnsi="Times New Roman" w:cs="Times New Roman"/>
          <w:sz w:val="24"/>
          <w:szCs w:val="24"/>
        </w:rPr>
        <w:t xml:space="preserve"> </w:t>
      </w:r>
      <w:r w:rsidRPr="00B22F69">
        <w:rPr>
          <w:rFonts w:ascii="Times New Roman" w:hAnsi="Times New Roman" w:cs="Times New Roman"/>
          <w:sz w:val="24"/>
          <w:szCs w:val="24"/>
        </w:rPr>
        <w:t>prasībām.</w:t>
      </w:r>
      <w:r w:rsidR="00A66FDC">
        <w:rPr>
          <w:rFonts w:ascii="Times New Roman" w:hAnsi="Times New Roman" w:cs="Times New Roman"/>
          <w:sz w:val="24"/>
          <w:szCs w:val="24"/>
        </w:rPr>
        <w:t xml:space="preserve"> Kontrolēs mazumtirdzniecības veikalos netik</w:t>
      </w:r>
      <w:r w:rsidR="00BE4C38">
        <w:rPr>
          <w:rFonts w:ascii="Times New Roman" w:hAnsi="Times New Roman" w:cs="Times New Roman"/>
          <w:sz w:val="24"/>
          <w:szCs w:val="24"/>
        </w:rPr>
        <w:t>a</w:t>
      </w:r>
      <w:r w:rsidR="00A66FDC">
        <w:rPr>
          <w:rFonts w:ascii="Times New Roman" w:hAnsi="Times New Roman" w:cs="Times New Roman"/>
          <w:sz w:val="24"/>
          <w:szCs w:val="24"/>
        </w:rPr>
        <w:t xml:space="preserve"> kontrolēta kosmētikas līdzekļu dokumentācija un citu Regulas </w:t>
      </w:r>
      <w:r w:rsidR="00A66FDC" w:rsidRPr="00B22F69">
        <w:rPr>
          <w:rFonts w:ascii="Times New Roman" w:hAnsi="Times New Roman" w:cs="Times New Roman"/>
          <w:sz w:val="24"/>
          <w:szCs w:val="24"/>
        </w:rPr>
        <w:t xml:space="preserve">Nr.1223/2009 </w:t>
      </w:r>
      <w:r w:rsidR="00A66FDC">
        <w:rPr>
          <w:rFonts w:ascii="Times New Roman" w:hAnsi="Times New Roman" w:cs="Times New Roman"/>
          <w:sz w:val="24"/>
          <w:szCs w:val="24"/>
        </w:rPr>
        <w:t>prasību izpilde, par ko atbildīgs ir vairumtirdzniecības uzņēmums.</w:t>
      </w:r>
    </w:p>
    <w:p w:rsidR="00E93C77" w:rsidRDefault="00E93C77" w:rsidP="00194BED">
      <w:pPr>
        <w:spacing w:after="6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Pēc kontroļu rezultātiem 81% pārbaudīto zobu pastu atbilst prasībām, savukārt no 408 zobu pastām </w:t>
      </w:r>
      <w:r w:rsidR="00BA15CD">
        <w:rPr>
          <w:rFonts w:ascii="Times New Roman" w:hAnsi="Times New Roman" w:cs="Times New Roman"/>
          <w:sz w:val="24"/>
          <w:szCs w:val="24"/>
        </w:rPr>
        <w:t xml:space="preserve">79 </w:t>
      </w:r>
      <w:r w:rsidR="00BA15CD" w:rsidRPr="00766C0B">
        <w:rPr>
          <w:rFonts w:ascii="Times New Roman" w:hAnsi="Times New Roman" w:cs="Times New Roman"/>
          <w:sz w:val="24"/>
          <w:szCs w:val="24"/>
        </w:rPr>
        <w:t>(19%)</w:t>
      </w:r>
      <w:r w:rsidR="00BA15CD">
        <w:rPr>
          <w:rFonts w:ascii="Times New Roman" w:hAnsi="Times New Roman" w:cs="Times New Roman"/>
          <w:sz w:val="24"/>
          <w:szCs w:val="24"/>
        </w:rPr>
        <w:t xml:space="preserve"> </w:t>
      </w:r>
      <w:r>
        <w:rPr>
          <w:rFonts w:ascii="Times New Roman" w:hAnsi="Times New Roman" w:cs="Times New Roman"/>
          <w:sz w:val="24"/>
          <w:szCs w:val="24"/>
        </w:rPr>
        <w:t xml:space="preserve">marķējumā latviešu valodā konstatētas </w:t>
      </w:r>
      <w:r w:rsidRPr="00766C0B">
        <w:rPr>
          <w:rFonts w:ascii="Times New Roman" w:hAnsi="Times New Roman" w:cs="Times New Roman"/>
          <w:sz w:val="24"/>
          <w:szCs w:val="24"/>
        </w:rPr>
        <w:t xml:space="preserve">būtiskas vai mazāk būtiskas </w:t>
      </w:r>
      <w:r w:rsidRPr="00647A96">
        <w:rPr>
          <w:rFonts w:ascii="Times New Roman" w:hAnsi="Times New Roman" w:cs="Times New Roman"/>
          <w:sz w:val="24"/>
          <w:szCs w:val="24"/>
        </w:rPr>
        <w:t>neatbilstības</w:t>
      </w:r>
      <w:r>
        <w:rPr>
          <w:rFonts w:ascii="Times New Roman" w:hAnsi="Times New Roman" w:cs="Times New Roman"/>
          <w:sz w:val="24"/>
          <w:szCs w:val="24"/>
        </w:rPr>
        <w:t xml:space="preserve"> kosmētikas </w:t>
      </w:r>
      <w:r w:rsidR="00A66FDC">
        <w:rPr>
          <w:rFonts w:ascii="Times New Roman" w:hAnsi="Times New Roman" w:cs="Times New Roman"/>
          <w:sz w:val="24"/>
          <w:szCs w:val="24"/>
        </w:rPr>
        <w:t>normatīvo aktu</w:t>
      </w:r>
      <w:r>
        <w:rPr>
          <w:rFonts w:ascii="Times New Roman" w:hAnsi="Times New Roman" w:cs="Times New Roman"/>
          <w:sz w:val="24"/>
          <w:szCs w:val="24"/>
        </w:rPr>
        <w:t xml:space="preserve"> prasībām. Vienas zobu pastas</w:t>
      </w:r>
      <w:r w:rsidR="00BE4C38">
        <w:rPr>
          <w:rFonts w:ascii="Times New Roman" w:hAnsi="Times New Roman" w:cs="Times New Roman"/>
          <w:sz w:val="24"/>
          <w:szCs w:val="24"/>
        </w:rPr>
        <w:t xml:space="preserve"> tirdzniecību</w:t>
      </w:r>
      <w:r w:rsidR="00A66FDC">
        <w:rPr>
          <w:rFonts w:ascii="Times New Roman" w:hAnsi="Times New Roman" w:cs="Times New Roman"/>
          <w:sz w:val="24"/>
          <w:szCs w:val="24"/>
        </w:rPr>
        <w:t xml:space="preserve"> </w:t>
      </w:r>
      <w:r w:rsidR="00A66FDC" w:rsidRPr="00DF2D2F">
        <w:rPr>
          <w:rFonts w:ascii="Times New Roman" w:hAnsi="Times New Roman" w:cs="Times New Roman"/>
          <w:sz w:val="24"/>
          <w:szCs w:val="24"/>
        </w:rPr>
        <w:t>veikalā</w:t>
      </w:r>
      <w:r w:rsidR="00A66FDC">
        <w:rPr>
          <w:rFonts w:ascii="Times New Roman" w:hAnsi="Times New Roman" w:cs="Times New Roman"/>
          <w:sz w:val="24"/>
          <w:szCs w:val="24"/>
        </w:rPr>
        <w:t xml:space="preserve"> </w:t>
      </w:r>
      <w:r w:rsidR="00BE4C38">
        <w:rPr>
          <w:rFonts w:ascii="Times New Roman" w:hAnsi="Times New Roman" w:cs="Times New Roman"/>
          <w:sz w:val="24"/>
          <w:szCs w:val="24"/>
        </w:rPr>
        <w:t xml:space="preserve">tika uzdots pārtraukt </w:t>
      </w:r>
      <w:r w:rsidR="00A66FDC">
        <w:rPr>
          <w:rFonts w:ascii="Times New Roman" w:hAnsi="Times New Roman" w:cs="Times New Roman"/>
          <w:sz w:val="24"/>
          <w:szCs w:val="24"/>
        </w:rPr>
        <w:t xml:space="preserve">līdz neatbilstības novēršanai, </w:t>
      </w:r>
      <w:r>
        <w:rPr>
          <w:rFonts w:ascii="Times New Roman" w:hAnsi="Times New Roman" w:cs="Times New Roman"/>
          <w:sz w:val="24"/>
          <w:szCs w:val="24"/>
        </w:rPr>
        <w:t>jo tās marķējums bija pilnībā izdzisis un nebija salasāms.</w:t>
      </w:r>
      <w:r w:rsidR="001F093E">
        <w:rPr>
          <w:rFonts w:ascii="Times New Roman" w:hAnsi="Times New Roman" w:cs="Times New Roman"/>
          <w:sz w:val="24"/>
          <w:szCs w:val="24"/>
        </w:rPr>
        <w:t xml:space="preserve"> No četrām Latvijā ražotām zobu pastām neatbilstības marķējumā konstatētas </w:t>
      </w:r>
      <w:r w:rsidR="005B4EDD">
        <w:rPr>
          <w:rFonts w:ascii="Times New Roman" w:hAnsi="Times New Roman" w:cs="Times New Roman"/>
          <w:sz w:val="24"/>
          <w:szCs w:val="24"/>
        </w:rPr>
        <w:t>divām</w:t>
      </w:r>
      <w:r w:rsidR="001F093E">
        <w:rPr>
          <w:rFonts w:ascii="Times New Roman" w:hAnsi="Times New Roman" w:cs="Times New Roman"/>
          <w:sz w:val="24"/>
          <w:szCs w:val="24"/>
        </w:rPr>
        <w:t xml:space="preserve">, savukārt importētām zobu pastām neatbilstības konstatētas </w:t>
      </w:r>
      <w:r w:rsidR="005B4EDD">
        <w:rPr>
          <w:rFonts w:ascii="Times New Roman" w:hAnsi="Times New Roman" w:cs="Times New Roman"/>
          <w:sz w:val="24"/>
          <w:szCs w:val="24"/>
        </w:rPr>
        <w:t>28 no 112 (</w:t>
      </w:r>
      <w:r w:rsidR="001F093E">
        <w:rPr>
          <w:rFonts w:ascii="Times New Roman" w:hAnsi="Times New Roman" w:cs="Times New Roman"/>
          <w:sz w:val="24"/>
          <w:szCs w:val="24"/>
        </w:rPr>
        <w:t>25%</w:t>
      </w:r>
      <w:r w:rsidR="005B4EDD">
        <w:rPr>
          <w:rFonts w:ascii="Times New Roman" w:hAnsi="Times New Roman" w:cs="Times New Roman"/>
          <w:sz w:val="24"/>
          <w:szCs w:val="24"/>
        </w:rPr>
        <w:t>)</w:t>
      </w:r>
      <w:r w:rsidR="001F093E">
        <w:rPr>
          <w:rFonts w:ascii="Times New Roman" w:hAnsi="Times New Roman" w:cs="Times New Roman"/>
          <w:sz w:val="24"/>
          <w:szCs w:val="24"/>
        </w:rPr>
        <w:t xml:space="preserve"> zobu pastām, bet </w:t>
      </w:r>
      <w:r w:rsidR="000A23F6">
        <w:rPr>
          <w:rFonts w:ascii="Times New Roman" w:hAnsi="Times New Roman" w:cs="Times New Roman"/>
          <w:sz w:val="24"/>
          <w:szCs w:val="24"/>
        </w:rPr>
        <w:t>izplatītām</w:t>
      </w:r>
      <w:r w:rsidR="001F093E">
        <w:rPr>
          <w:rFonts w:ascii="Times New Roman" w:hAnsi="Times New Roman" w:cs="Times New Roman"/>
          <w:sz w:val="24"/>
          <w:szCs w:val="24"/>
        </w:rPr>
        <w:t xml:space="preserve"> pastām neatbilstošs marķējums konstatēts </w:t>
      </w:r>
      <w:r w:rsidR="005B4EDD">
        <w:rPr>
          <w:rFonts w:ascii="Times New Roman" w:hAnsi="Times New Roman" w:cs="Times New Roman"/>
          <w:sz w:val="24"/>
          <w:szCs w:val="24"/>
        </w:rPr>
        <w:t>49 no 292 (</w:t>
      </w:r>
      <w:r w:rsidR="001F093E">
        <w:rPr>
          <w:rFonts w:ascii="Times New Roman" w:hAnsi="Times New Roman" w:cs="Times New Roman"/>
          <w:sz w:val="24"/>
          <w:szCs w:val="24"/>
        </w:rPr>
        <w:t>17%</w:t>
      </w:r>
      <w:r w:rsidR="005B4EDD">
        <w:rPr>
          <w:rFonts w:ascii="Times New Roman" w:hAnsi="Times New Roman" w:cs="Times New Roman"/>
          <w:sz w:val="24"/>
          <w:szCs w:val="24"/>
        </w:rPr>
        <w:t>)</w:t>
      </w:r>
      <w:r w:rsidR="00690A33">
        <w:rPr>
          <w:rFonts w:ascii="Times New Roman" w:hAnsi="Times New Roman" w:cs="Times New Roman"/>
          <w:sz w:val="24"/>
          <w:szCs w:val="24"/>
        </w:rPr>
        <w:t xml:space="preserve"> (</w:t>
      </w:r>
      <w:r w:rsidR="009D2A9C">
        <w:rPr>
          <w:rFonts w:ascii="Times New Roman" w:hAnsi="Times New Roman" w:cs="Times New Roman"/>
          <w:sz w:val="24"/>
          <w:szCs w:val="24"/>
        </w:rPr>
        <w:t>8</w:t>
      </w:r>
      <w:r w:rsidR="00690A33">
        <w:rPr>
          <w:rFonts w:ascii="Times New Roman" w:hAnsi="Times New Roman" w:cs="Times New Roman"/>
          <w:sz w:val="24"/>
          <w:szCs w:val="24"/>
        </w:rPr>
        <w:t>.attēls)</w:t>
      </w:r>
      <w:r w:rsidR="001F093E">
        <w:rPr>
          <w:rFonts w:ascii="Times New Roman" w:hAnsi="Times New Roman" w:cs="Times New Roman"/>
          <w:sz w:val="24"/>
          <w:szCs w:val="24"/>
        </w:rPr>
        <w:t>.</w:t>
      </w:r>
    </w:p>
    <w:p w:rsidR="000A46D1" w:rsidRDefault="00BC40D2" w:rsidP="00E93C77">
      <w:pPr>
        <w:jc w:val="both"/>
        <w:rPr>
          <w:rFonts w:ascii="Times New Roman" w:hAnsi="Times New Roman" w:cs="Times New Roman"/>
          <w:sz w:val="24"/>
          <w:szCs w:val="24"/>
        </w:rPr>
      </w:pPr>
      <w:r w:rsidRPr="00BC40D2">
        <w:rPr>
          <w:rFonts w:ascii="Times New Roman" w:hAnsi="Times New Roman" w:cs="Times New Roman"/>
          <w:noProof/>
          <w:sz w:val="24"/>
          <w:szCs w:val="24"/>
          <w:lang w:val="en-US"/>
        </w:rPr>
        <w:lastRenderedPageBreak/>
        <w:drawing>
          <wp:inline distT="0" distB="0" distL="0" distR="0">
            <wp:extent cx="4847148" cy="2369489"/>
            <wp:effectExtent l="19050" t="0" r="10602" b="0"/>
            <wp:docPr id="2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E93C77" w:rsidRDefault="009D2A9C" w:rsidP="00967830">
      <w:pPr>
        <w:rPr>
          <w:rFonts w:ascii="Times New Roman" w:hAnsi="Times New Roman" w:cs="Times New Roman"/>
          <w:sz w:val="24"/>
          <w:szCs w:val="24"/>
        </w:rPr>
      </w:pPr>
      <w:r>
        <w:rPr>
          <w:rFonts w:ascii="Times New Roman" w:hAnsi="Times New Roman" w:cs="Times New Roman"/>
          <w:sz w:val="24"/>
          <w:szCs w:val="24"/>
        </w:rPr>
        <w:t>8</w:t>
      </w:r>
      <w:r w:rsidR="000A46D1">
        <w:rPr>
          <w:rFonts w:ascii="Times New Roman" w:hAnsi="Times New Roman" w:cs="Times New Roman"/>
          <w:sz w:val="24"/>
          <w:szCs w:val="24"/>
        </w:rPr>
        <w:t xml:space="preserve">.attēls. Kontrolēto zobu pastu </w:t>
      </w:r>
      <w:r w:rsidR="00690A33">
        <w:rPr>
          <w:rFonts w:ascii="Times New Roman" w:hAnsi="Times New Roman" w:cs="Times New Roman"/>
          <w:sz w:val="24"/>
          <w:szCs w:val="24"/>
        </w:rPr>
        <w:t>marķējuma atbilstība</w:t>
      </w:r>
      <w:r w:rsidR="00BE4C38">
        <w:rPr>
          <w:rFonts w:ascii="Times New Roman" w:hAnsi="Times New Roman" w:cs="Times New Roman"/>
          <w:sz w:val="24"/>
          <w:szCs w:val="24"/>
        </w:rPr>
        <w:t>s salīdzinājums atkarībā no to izcelsmes</w:t>
      </w:r>
      <w:r w:rsidR="00690A33">
        <w:rPr>
          <w:rFonts w:ascii="Times New Roman" w:hAnsi="Times New Roman" w:cs="Times New Roman"/>
          <w:sz w:val="24"/>
          <w:szCs w:val="24"/>
        </w:rPr>
        <w:t>.</w:t>
      </w:r>
    </w:p>
    <w:p w:rsidR="009F0D52" w:rsidRPr="00F059C8" w:rsidRDefault="009F0D52" w:rsidP="00194BED">
      <w:pPr>
        <w:spacing w:after="60" w:line="240" w:lineRule="auto"/>
        <w:ind w:firstLine="567"/>
        <w:jc w:val="both"/>
        <w:rPr>
          <w:rFonts w:ascii="Times New Roman" w:hAnsi="Times New Roman" w:cs="Times New Roman"/>
          <w:sz w:val="24"/>
          <w:szCs w:val="24"/>
        </w:rPr>
      </w:pPr>
      <w:r>
        <w:rPr>
          <w:rFonts w:ascii="Times New Roman" w:hAnsi="Times New Roman" w:cs="Times New Roman"/>
          <w:sz w:val="24"/>
          <w:szCs w:val="24"/>
        </w:rPr>
        <w:t>Visbiežāk konstatēts</w:t>
      </w:r>
      <w:r w:rsidR="008F71DB">
        <w:rPr>
          <w:rFonts w:ascii="Times New Roman" w:hAnsi="Times New Roman" w:cs="Times New Roman"/>
          <w:sz w:val="24"/>
          <w:szCs w:val="24"/>
        </w:rPr>
        <w:t xml:space="preserve"> (15%)</w:t>
      </w:r>
      <w:r>
        <w:rPr>
          <w:rFonts w:ascii="Times New Roman" w:hAnsi="Times New Roman" w:cs="Times New Roman"/>
          <w:sz w:val="24"/>
          <w:szCs w:val="24"/>
        </w:rPr>
        <w:t xml:space="preserve">, ka marķējumā latviešu valodā nav </w:t>
      </w:r>
      <w:r w:rsidR="00C444CB">
        <w:rPr>
          <w:rFonts w:ascii="Times New Roman" w:hAnsi="Times New Roman" w:cs="Times New Roman"/>
          <w:sz w:val="24"/>
          <w:szCs w:val="24"/>
        </w:rPr>
        <w:t xml:space="preserve">norādīti vai nav </w:t>
      </w:r>
      <w:r>
        <w:rPr>
          <w:rFonts w:ascii="Times New Roman" w:hAnsi="Times New Roman" w:cs="Times New Roman"/>
          <w:sz w:val="24"/>
          <w:szCs w:val="24"/>
        </w:rPr>
        <w:t xml:space="preserve">tulkoti </w:t>
      </w:r>
      <w:r w:rsidR="00C444CB">
        <w:rPr>
          <w:rFonts w:ascii="Times New Roman" w:hAnsi="Times New Roman" w:cs="Times New Roman"/>
          <w:sz w:val="24"/>
          <w:szCs w:val="24"/>
        </w:rPr>
        <w:t xml:space="preserve">piesardzības pasākumi, kas jāievēro patērētājam lietojot zobu pastu. </w:t>
      </w:r>
      <w:r w:rsidR="00C444CB" w:rsidRPr="00171800">
        <w:rPr>
          <w:rFonts w:ascii="Times New Roman" w:hAnsi="Times New Roman" w:cs="Times New Roman"/>
          <w:sz w:val="24"/>
          <w:szCs w:val="24"/>
        </w:rPr>
        <w:t>Tā var būt obligātā informācija, kas marķējumā jānorāda, saskaņā ar Regulas Nr.</w:t>
      </w:r>
      <w:r w:rsidR="00BE4C38">
        <w:rPr>
          <w:rFonts w:ascii="Times New Roman" w:hAnsi="Times New Roman" w:cs="Times New Roman"/>
          <w:sz w:val="24"/>
          <w:szCs w:val="24"/>
        </w:rPr>
        <w:t> </w:t>
      </w:r>
      <w:r w:rsidR="00C444CB" w:rsidRPr="00171800">
        <w:rPr>
          <w:rFonts w:ascii="Times New Roman" w:hAnsi="Times New Roman" w:cs="Times New Roman"/>
          <w:sz w:val="24"/>
          <w:szCs w:val="24"/>
        </w:rPr>
        <w:t>1223/2009 prasībām vai cita informācija oriģinālajā marķējumā, ko ražotājs uzskata par būtisku patērētājam.</w:t>
      </w:r>
      <w:r w:rsidR="00C444CB">
        <w:rPr>
          <w:rFonts w:ascii="Times New Roman" w:hAnsi="Times New Roman" w:cs="Times New Roman"/>
          <w:sz w:val="24"/>
          <w:szCs w:val="24"/>
        </w:rPr>
        <w:t xml:space="preserve"> </w:t>
      </w:r>
      <w:r w:rsidR="00F059C8">
        <w:rPr>
          <w:rFonts w:ascii="Times New Roman" w:hAnsi="Times New Roman" w:cs="Times New Roman"/>
          <w:sz w:val="24"/>
          <w:szCs w:val="24"/>
        </w:rPr>
        <w:t xml:space="preserve">Trim zobu pastām marķējumā latviešu valodā bija norādīti apgalvojumi, </w:t>
      </w:r>
      <w:r w:rsidR="00A66FDC">
        <w:rPr>
          <w:rFonts w:ascii="Times New Roman" w:hAnsi="Times New Roman" w:cs="Times New Roman"/>
          <w:sz w:val="24"/>
          <w:szCs w:val="24"/>
        </w:rPr>
        <w:t>kādi nedrīkst būt norādīti kosmētikas līdzekļu marķējumā, atbilstoši</w:t>
      </w:r>
      <w:r w:rsidR="00A66FDC" w:rsidRPr="00A66FDC">
        <w:rPr>
          <w:rFonts w:ascii="Times New Roman" w:hAnsi="Times New Roman" w:cs="Times New Roman"/>
          <w:sz w:val="24"/>
          <w:szCs w:val="24"/>
        </w:rPr>
        <w:t xml:space="preserve"> </w:t>
      </w:r>
      <w:r w:rsidR="00A66FDC">
        <w:rPr>
          <w:rFonts w:ascii="Times New Roman" w:hAnsi="Times New Roman" w:cs="Times New Roman"/>
          <w:sz w:val="24"/>
          <w:szCs w:val="24"/>
        </w:rPr>
        <w:t>Regulai Nr.</w:t>
      </w:r>
      <w:r w:rsidR="00BE4C38">
        <w:rPr>
          <w:rFonts w:ascii="Times New Roman" w:hAnsi="Times New Roman" w:cs="Times New Roman"/>
          <w:sz w:val="24"/>
          <w:szCs w:val="24"/>
        </w:rPr>
        <w:t> </w:t>
      </w:r>
      <w:r w:rsidR="00A66FDC">
        <w:rPr>
          <w:rFonts w:ascii="Times New Roman" w:hAnsi="Times New Roman" w:cs="Times New Roman"/>
          <w:sz w:val="24"/>
          <w:szCs w:val="24"/>
        </w:rPr>
        <w:t>655/2013</w:t>
      </w:r>
      <w:r w:rsidR="00F059C8">
        <w:rPr>
          <w:rFonts w:ascii="Times New Roman" w:hAnsi="Times New Roman" w:cs="Times New Roman"/>
          <w:sz w:val="24"/>
          <w:szCs w:val="24"/>
        </w:rPr>
        <w:t xml:space="preserve"> (</w:t>
      </w:r>
      <w:r w:rsidR="00BE4C38">
        <w:rPr>
          <w:rFonts w:ascii="Times New Roman" w:hAnsi="Times New Roman" w:cs="Times New Roman"/>
          <w:sz w:val="24"/>
          <w:szCs w:val="24"/>
        </w:rPr>
        <w:t xml:space="preserve">neatbilstošie apgalvojumi: </w:t>
      </w:r>
      <w:r w:rsidR="00F059C8" w:rsidRPr="00F059C8">
        <w:rPr>
          <w:rFonts w:ascii="Times New Roman" w:hAnsi="Times New Roman" w:cs="Times New Roman"/>
          <w:sz w:val="24"/>
          <w:szCs w:val="24"/>
        </w:rPr>
        <w:t>cīnās pret galvenajiem smaganu iekaisuma izraisītājiem – baktērijām, novērš smaganu iekaisumu</w:t>
      </w:r>
      <w:r w:rsidR="00F059C8">
        <w:rPr>
          <w:rFonts w:ascii="Times New Roman" w:hAnsi="Times New Roman" w:cs="Times New Roman"/>
          <w:sz w:val="24"/>
          <w:szCs w:val="24"/>
        </w:rPr>
        <w:t xml:space="preserve">, antibakteriāla, </w:t>
      </w:r>
      <w:r w:rsidR="00F059C8" w:rsidRPr="00F059C8">
        <w:rPr>
          <w:rStyle w:val="gwtext-compositecellchild"/>
          <w:rFonts w:ascii="Times New Roman" w:hAnsi="Times New Roman" w:cs="Times New Roman"/>
          <w:sz w:val="24"/>
          <w:szCs w:val="24"/>
        </w:rPr>
        <w:t>nodrošina ilgstošu antibakteriālu efektu</w:t>
      </w:r>
      <w:r w:rsidR="00F059C8" w:rsidRPr="00F059C8">
        <w:rPr>
          <w:rFonts w:ascii="Times New Roman" w:hAnsi="Times New Roman" w:cs="Times New Roman"/>
          <w:sz w:val="24"/>
          <w:szCs w:val="24"/>
        </w:rPr>
        <w:t>).</w:t>
      </w:r>
    </w:p>
    <w:tbl>
      <w:tblPr>
        <w:tblW w:w="7460" w:type="dxa"/>
        <w:tblInd w:w="98" w:type="dxa"/>
        <w:tblLook w:val="04A0"/>
      </w:tblPr>
      <w:tblGrid>
        <w:gridCol w:w="5760"/>
        <w:gridCol w:w="1700"/>
      </w:tblGrid>
      <w:tr w:rsidR="00DF1943" w:rsidRPr="00DF1943" w:rsidTr="00DF1943">
        <w:trPr>
          <w:trHeight w:val="585"/>
        </w:trPr>
        <w:tc>
          <w:tcPr>
            <w:tcW w:w="5760" w:type="dxa"/>
            <w:tcBorders>
              <w:top w:val="single" w:sz="8" w:space="0" w:color="auto"/>
              <w:left w:val="single" w:sz="8" w:space="0" w:color="auto"/>
              <w:bottom w:val="single" w:sz="8" w:space="0" w:color="auto"/>
              <w:right w:val="nil"/>
            </w:tcBorders>
            <w:shd w:val="clear" w:color="000000" w:fill="FCD5B4"/>
            <w:vAlign w:val="center"/>
            <w:hideMark/>
          </w:tcPr>
          <w:p w:rsidR="00DF1943" w:rsidRPr="00DF1943" w:rsidRDefault="00DF1943" w:rsidP="00DF1943">
            <w:pPr>
              <w:spacing w:after="0" w:line="240" w:lineRule="auto"/>
              <w:jc w:val="center"/>
              <w:rPr>
                <w:rFonts w:ascii="Times New Roman" w:eastAsia="Times New Roman" w:hAnsi="Times New Roman" w:cs="Times New Roman"/>
                <w:b/>
                <w:bCs/>
                <w:lang w:eastAsia="lv-LV"/>
              </w:rPr>
            </w:pPr>
            <w:r w:rsidRPr="00DF1943">
              <w:rPr>
                <w:rFonts w:ascii="Times New Roman" w:eastAsia="Times New Roman" w:hAnsi="Times New Roman" w:cs="Times New Roman"/>
                <w:b/>
                <w:bCs/>
                <w:lang w:eastAsia="lv-LV"/>
              </w:rPr>
              <w:t>Marķējumā konstatētā neatbilstība</w:t>
            </w:r>
          </w:p>
        </w:tc>
        <w:tc>
          <w:tcPr>
            <w:tcW w:w="1700" w:type="dxa"/>
            <w:tcBorders>
              <w:top w:val="single" w:sz="8" w:space="0" w:color="auto"/>
              <w:left w:val="single" w:sz="8" w:space="0" w:color="auto"/>
              <w:bottom w:val="single" w:sz="8" w:space="0" w:color="auto"/>
              <w:right w:val="single" w:sz="8" w:space="0" w:color="auto"/>
            </w:tcBorders>
            <w:shd w:val="clear" w:color="000000" w:fill="FCD5B4"/>
            <w:vAlign w:val="center"/>
            <w:hideMark/>
          </w:tcPr>
          <w:p w:rsidR="00DF1943" w:rsidRPr="00DF1943" w:rsidRDefault="00DF1943" w:rsidP="00DF1943">
            <w:pPr>
              <w:spacing w:after="0" w:line="240" w:lineRule="auto"/>
              <w:jc w:val="center"/>
              <w:rPr>
                <w:rFonts w:ascii="Times New Roman" w:eastAsia="Times New Roman" w:hAnsi="Times New Roman" w:cs="Times New Roman"/>
                <w:b/>
                <w:bCs/>
                <w:lang w:eastAsia="lv-LV"/>
              </w:rPr>
            </w:pPr>
            <w:r w:rsidRPr="00DF1943">
              <w:rPr>
                <w:rFonts w:ascii="Times New Roman" w:eastAsia="Times New Roman" w:hAnsi="Times New Roman" w:cs="Times New Roman"/>
                <w:b/>
                <w:bCs/>
                <w:lang w:eastAsia="lv-LV"/>
              </w:rPr>
              <w:t>Zobu pastas ar neatbilstībām</w:t>
            </w:r>
          </w:p>
        </w:tc>
      </w:tr>
      <w:tr w:rsidR="00DF1943" w:rsidRPr="00DF1943" w:rsidTr="00DF1943">
        <w:trPr>
          <w:trHeight w:val="330"/>
        </w:trPr>
        <w:tc>
          <w:tcPr>
            <w:tcW w:w="5760" w:type="dxa"/>
            <w:tcBorders>
              <w:top w:val="nil"/>
              <w:left w:val="single" w:sz="8" w:space="0" w:color="auto"/>
              <w:bottom w:val="single" w:sz="4" w:space="0" w:color="auto"/>
              <w:right w:val="nil"/>
            </w:tcBorders>
            <w:shd w:val="clear" w:color="000000" w:fill="FFFFFF"/>
            <w:vAlign w:val="center"/>
            <w:hideMark/>
          </w:tcPr>
          <w:p w:rsidR="00DF1943" w:rsidRPr="00DF1943" w:rsidRDefault="00DF1943" w:rsidP="00DF1943">
            <w:pPr>
              <w:spacing w:after="0" w:line="240" w:lineRule="auto"/>
              <w:rPr>
                <w:rFonts w:ascii="Times New Roman" w:eastAsia="Times New Roman" w:hAnsi="Times New Roman" w:cs="Times New Roman"/>
                <w:color w:val="000000"/>
                <w:lang w:eastAsia="lv-LV"/>
              </w:rPr>
            </w:pPr>
            <w:r w:rsidRPr="00DF1943">
              <w:rPr>
                <w:rFonts w:ascii="Times New Roman" w:eastAsia="Times New Roman" w:hAnsi="Times New Roman" w:cs="Times New Roman"/>
                <w:color w:val="000000"/>
                <w:lang w:eastAsia="lv-LV"/>
              </w:rPr>
              <w:t>Nav norādīti piesardzības pasākumi, kas jāievēro lietošanā</w:t>
            </w:r>
          </w:p>
        </w:tc>
        <w:tc>
          <w:tcPr>
            <w:tcW w:w="1700" w:type="dxa"/>
            <w:tcBorders>
              <w:top w:val="nil"/>
              <w:left w:val="single" w:sz="8" w:space="0" w:color="auto"/>
              <w:bottom w:val="single" w:sz="4" w:space="0" w:color="auto"/>
              <w:right w:val="single" w:sz="8" w:space="0" w:color="auto"/>
            </w:tcBorders>
            <w:shd w:val="clear" w:color="auto" w:fill="auto"/>
            <w:noWrap/>
            <w:vAlign w:val="bottom"/>
            <w:hideMark/>
          </w:tcPr>
          <w:p w:rsidR="00DF1943" w:rsidRPr="00DF1943" w:rsidRDefault="00DF1943" w:rsidP="00840C12">
            <w:pPr>
              <w:spacing w:after="0" w:line="240" w:lineRule="auto"/>
              <w:ind w:left="379"/>
              <w:rPr>
                <w:rFonts w:ascii="Times New Roman" w:eastAsia="Times New Roman" w:hAnsi="Times New Roman" w:cs="Times New Roman"/>
                <w:b/>
                <w:bCs/>
                <w:lang w:eastAsia="lv-LV"/>
              </w:rPr>
            </w:pPr>
            <w:r w:rsidRPr="00DF1943">
              <w:rPr>
                <w:rFonts w:ascii="Times New Roman" w:eastAsia="Times New Roman" w:hAnsi="Times New Roman" w:cs="Times New Roman"/>
                <w:b/>
                <w:bCs/>
                <w:lang w:eastAsia="lv-LV"/>
              </w:rPr>
              <w:t>60</w:t>
            </w:r>
            <w:r w:rsidRPr="00DF1943">
              <w:rPr>
                <w:rFonts w:ascii="Times New Roman" w:eastAsia="Times New Roman" w:hAnsi="Times New Roman" w:cs="Times New Roman"/>
                <w:lang w:eastAsia="lv-LV"/>
              </w:rPr>
              <w:t xml:space="preserve"> (15%)</w:t>
            </w:r>
          </w:p>
        </w:tc>
      </w:tr>
      <w:tr w:rsidR="00DF1943" w:rsidRPr="00DF1943" w:rsidTr="00DF1943">
        <w:trPr>
          <w:trHeight w:val="330"/>
        </w:trPr>
        <w:tc>
          <w:tcPr>
            <w:tcW w:w="5760" w:type="dxa"/>
            <w:tcBorders>
              <w:top w:val="nil"/>
              <w:left w:val="single" w:sz="8" w:space="0" w:color="auto"/>
              <w:bottom w:val="single" w:sz="4" w:space="0" w:color="auto"/>
              <w:right w:val="nil"/>
            </w:tcBorders>
            <w:shd w:val="clear" w:color="000000" w:fill="FFFFFF"/>
            <w:vAlign w:val="center"/>
            <w:hideMark/>
          </w:tcPr>
          <w:p w:rsidR="00DF1943" w:rsidRPr="00DF1943" w:rsidRDefault="00DF1943" w:rsidP="00DF1943">
            <w:pPr>
              <w:spacing w:after="0" w:line="240" w:lineRule="auto"/>
              <w:rPr>
                <w:rFonts w:ascii="Times New Roman" w:eastAsia="Times New Roman" w:hAnsi="Times New Roman" w:cs="Times New Roman"/>
                <w:color w:val="000000"/>
                <w:lang w:eastAsia="lv-LV"/>
              </w:rPr>
            </w:pPr>
            <w:r w:rsidRPr="00DF1943">
              <w:rPr>
                <w:rFonts w:ascii="Times New Roman" w:eastAsia="Times New Roman" w:hAnsi="Times New Roman" w:cs="Times New Roman"/>
                <w:color w:val="000000"/>
                <w:lang w:eastAsia="lv-LV"/>
              </w:rPr>
              <w:t>Derīguma termiņš nav "ieteicams līdz " vai smilšu</w:t>
            </w:r>
            <w:r w:rsidR="00690A33">
              <w:rPr>
                <w:rFonts w:ascii="Times New Roman" w:eastAsia="Times New Roman" w:hAnsi="Times New Roman" w:cs="Times New Roman"/>
                <w:color w:val="000000"/>
                <w:lang w:eastAsia="lv-LV"/>
              </w:rPr>
              <w:t xml:space="preserve"> </w:t>
            </w:r>
            <w:r w:rsidRPr="00DF1943">
              <w:rPr>
                <w:rFonts w:ascii="Times New Roman" w:eastAsia="Times New Roman" w:hAnsi="Times New Roman" w:cs="Times New Roman"/>
                <w:color w:val="000000"/>
                <w:lang w:eastAsia="lv-LV"/>
              </w:rPr>
              <w:t>pulkstenīša veidā</w:t>
            </w:r>
          </w:p>
        </w:tc>
        <w:tc>
          <w:tcPr>
            <w:tcW w:w="1700" w:type="dxa"/>
            <w:tcBorders>
              <w:top w:val="nil"/>
              <w:left w:val="single" w:sz="8" w:space="0" w:color="auto"/>
              <w:bottom w:val="single" w:sz="4" w:space="0" w:color="auto"/>
              <w:right w:val="single" w:sz="8" w:space="0" w:color="auto"/>
            </w:tcBorders>
            <w:shd w:val="clear" w:color="auto" w:fill="auto"/>
            <w:noWrap/>
            <w:vAlign w:val="bottom"/>
            <w:hideMark/>
          </w:tcPr>
          <w:p w:rsidR="00DF1943" w:rsidRPr="00DF1943" w:rsidRDefault="00DF1943" w:rsidP="00840C12">
            <w:pPr>
              <w:spacing w:after="0" w:line="240" w:lineRule="auto"/>
              <w:ind w:left="379"/>
              <w:rPr>
                <w:rFonts w:ascii="Times New Roman" w:eastAsia="Times New Roman" w:hAnsi="Times New Roman" w:cs="Times New Roman"/>
                <w:b/>
                <w:bCs/>
                <w:lang w:eastAsia="lv-LV"/>
              </w:rPr>
            </w:pPr>
            <w:r w:rsidRPr="00DF1943">
              <w:rPr>
                <w:rFonts w:ascii="Times New Roman" w:eastAsia="Times New Roman" w:hAnsi="Times New Roman" w:cs="Times New Roman"/>
                <w:b/>
                <w:bCs/>
                <w:lang w:eastAsia="lv-LV"/>
              </w:rPr>
              <w:t>7</w:t>
            </w:r>
            <w:r w:rsidRPr="00DF1943">
              <w:rPr>
                <w:rFonts w:ascii="Times New Roman" w:eastAsia="Times New Roman" w:hAnsi="Times New Roman" w:cs="Times New Roman"/>
                <w:lang w:eastAsia="lv-LV"/>
              </w:rPr>
              <w:t xml:space="preserve"> (2%)</w:t>
            </w:r>
          </w:p>
        </w:tc>
      </w:tr>
      <w:tr w:rsidR="00DF1943" w:rsidRPr="00DF1943" w:rsidTr="00DF1943">
        <w:trPr>
          <w:trHeight w:val="330"/>
        </w:trPr>
        <w:tc>
          <w:tcPr>
            <w:tcW w:w="5760" w:type="dxa"/>
            <w:tcBorders>
              <w:top w:val="nil"/>
              <w:left w:val="single" w:sz="8" w:space="0" w:color="auto"/>
              <w:bottom w:val="single" w:sz="4" w:space="0" w:color="auto"/>
              <w:right w:val="nil"/>
            </w:tcBorders>
            <w:shd w:val="clear" w:color="000000" w:fill="FFFFFF"/>
            <w:vAlign w:val="center"/>
            <w:hideMark/>
          </w:tcPr>
          <w:p w:rsidR="00DF1943" w:rsidRPr="00DF1943" w:rsidRDefault="00DF1943" w:rsidP="00DF1943">
            <w:pPr>
              <w:spacing w:after="0" w:line="240" w:lineRule="auto"/>
              <w:rPr>
                <w:rFonts w:ascii="Times New Roman" w:eastAsia="Times New Roman" w:hAnsi="Times New Roman" w:cs="Times New Roman"/>
                <w:color w:val="000000"/>
                <w:lang w:eastAsia="lv-LV"/>
              </w:rPr>
            </w:pPr>
            <w:r w:rsidRPr="00DF1943">
              <w:rPr>
                <w:rFonts w:ascii="Times New Roman" w:eastAsia="Times New Roman" w:hAnsi="Times New Roman" w:cs="Times New Roman"/>
                <w:color w:val="000000"/>
                <w:lang w:eastAsia="lv-LV"/>
              </w:rPr>
              <w:t>Nav norādīts atbildīgās personas nosaukums un adrese</w:t>
            </w:r>
          </w:p>
        </w:tc>
        <w:tc>
          <w:tcPr>
            <w:tcW w:w="1700" w:type="dxa"/>
            <w:tcBorders>
              <w:top w:val="nil"/>
              <w:left w:val="single" w:sz="8" w:space="0" w:color="auto"/>
              <w:bottom w:val="single" w:sz="4" w:space="0" w:color="auto"/>
              <w:right w:val="single" w:sz="8" w:space="0" w:color="auto"/>
            </w:tcBorders>
            <w:shd w:val="clear" w:color="auto" w:fill="auto"/>
            <w:noWrap/>
            <w:vAlign w:val="bottom"/>
            <w:hideMark/>
          </w:tcPr>
          <w:p w:rsidR="00DF1943" w:rsidRPr="00DF1943" w:rsidRDefault="00DF1943" w:rsidP="00840C12">
            <w:pPr>
              <w:spacing w:after="0" w:line="240" w:lineRule="auto"/>
              <w:ind w:left="379"/>
              <w:rPr>
                <w:rFonts w:ascii="Times New Roman" w:eastAsia="Times New Roman" w:hAnsi="Times New Roman" w:cs="Times New Roman"/>
                <w:b/>
                <w:bCs/>
                <w:lang w:eastAsia="lv-LV"/>
              </w:rPr>
            </w:pPr>
            <w:r w:rsidRPr="00DF1943">
              <w:rPr>
                <w:rFonts w:ascii="Times New Roman" w:eastAsia="Times New Roman" w:hAnsi="Times New Roman" w:cs="Times New Roman"/>
                <w:b/>
                <w:bCs/>
                <w:lang w:eastAsia="lv-LV"/>
              </w:rPr>
              <w:t>3</w:t>
            </w:r>
            <w:r w:rsidRPr="00DF1943">
              <w:rPr>
                <w:rFonts w:ascii="Times New Roman" w:eastAsia="Times New Roman" w:hAnsi="Times New Roman" w:cs="Times New Roman"/>
                <w:lang w:eastAsia="lv-LV"/>
              </w:rPr>
              <w:t xml:space="preserve"> (1%)</w:t>
            </w:r>
          </w:p>
        </w:tc>
      </w:tr>
      <w:tr w:rsidR="00DF1943" w:rsidRPr="00DF1943" w:rsidTr="00DF1943">
        <w:trPr>
          <w:trHeight w:val="330"/>
        </w:trPr>
        <w:tc>
          <w:tcPr>
            <w:tcW w:w="5760" w:type="dxa"/>
            <w:tcBorders>
              <w:top w:val="nil"/>
              <w:left w:val="single" w:sz="8" w:space="0" w:color="auto"/>
              <w:bottom w:val="single" w:sz="4" w:space="0" w:color="auto"/>
              <w:right w:val="nil"/>
            </w:tcBorders>
            <w:shd w:val="clear" w:color="000000" w:fill="FFFFFF"/>
            <w:vAlign w:val="center"/>
            <w:hideMark/>
          </w:tcPr>
          <w:p w:rsidR="00DF1943" w:rsidRPr="00DF1943" w:rsidRDefault="00DF1943" w:rsidP="00DF1943">
            <w:pPr>
              <w:spacing w:after="0" w:line="240" w:lineRule="auto"/>
              <w:rPr>
                <w:rFonts w:ascii="Times New Roman" w:eastAsia="Times New Roman" w:hAnsi="Times New Roman" w:cs="Times New Roman"/>
                <w:color w:val="000000"/>
                <w:lang w:eastAsia="lv-LV"/>
              </w:rPr>
            </w:pPr>
            <w:r w:rsidRPr="00DF1943">
              <w:rPr>
                <w:rFonts w:ascii="Times New Roman" w:eastAsia="Times New Roman" w:hAnsi="Times New Roman" w:cs="Times New Roman"/>
                <w:color w:val="000000"/>
                <w:lang w:eastAsia="lv-LV"/>
              </w:rPr>
              <w:t>Nav norādītas sastāvdaļas</w:t>
            </w:r>
          </w:p>
        </w:tc>
        <w:tc>
          <w:tcPr>
            <w:tcW w:w="1700" w:type="dxa"/>
            <w:tcBorders>
              <w:top w:val="nil"/>
              <w:left w:val="single" w:sz="8" w:space="0" w:color="auto"/>
              <w:bottom w:val="single" w:sz="4" w:space="0" w:color="auto"/>
              <w:right w:val="single" w:sz="8" w:space="0" w:color="auto"/>
            </w:tcBorders>
            <w:shd w:val="clear" w:color="auto" w:fill="auto"/>
            <w:noWrap/>
            <w:vAlign w:val="bottom"/>
            <w:hideMark/>
          </w:tcPr>
          <w:p w:rsidR="00DF1943" w:rsidRPr="00DF1943" w:rsidRDefault="00DF1943" w:rsidP="00840C12">
            <w:pPr>
              <w:spacing w:after="0" w:line="240" w:lineRule="auto"/>
              <w:ind w:left="379"/>
              <w:rPr>
                <w:rFonts w:ascii="Times New Roman" w:eastAsia="Times New Roman" w:hAnsi="Times New Roman" w:cs="Times New Roman"/>
                <w:b/>
                <w:bCs/>
                <w:lang w:eastAsia="lv-LV"/>
              </w:rPr>
            </w:pPr>
            <w:r w:rsidRPr="00DF1943">
              <w:rPr>
                <w:rFonts w:ascii="Times New Roman" w:eastAsia="Times New Roman" w:hAnsi="Times New Roman" w:cs="Times New Roman"/>
                <w:b/>
                <w:bCs/>
                <w:lang w:eastAsia="lv-LV"/>
              </w:rPr>
              <w:t xml:space="preserve">3 </w:t>
            </w:r>
            <w:r w:rsidRPr="00DF1943">
              <w:rPr>
                <w:rFonts w:ascii="Times New Roman" w:eastAsia="Times New Roman" w:hAnsi="Times New Roman" w:cs="Times New Roman"/>
                <w:lang w:eastAsia="lv-LV"/>
              </w:rPr>
              <w:t>(1%)</w:t>
            </w:r>
          </w:p>
        </w:tc>
      </w:tr>
      <w:tr w:rsidR="00DF1943" w:rsidRPr="00DF1943" w:rsidTr="00DF1943">
        <w:trPr>
          <w:trHeight w:val="330"/>
        </w:trPr>
        <w:tc>
          <w:tcPr>
            <w:tcW w:w="5760" w:type="dxa"/>
            <w:tcBorders>
              <w:top w:val="nil"/>
              <w:left w:val="single" w:sz="8" w:space="0" w:color="auto"/>
              <w:bottom w:val="single" w:sz="4" w:space="0" w:color="auto"/>
              <w:right w:val="nil"/>
            </w:tcBorders>
            <w:shd w:val="clear" w:color="000000" w:fill="FFFFFF"/>
            <w:vAlign w:val="bottom"/>
            <w:hideMark/>
          </w:tcPr>
          <w:p w:rsidR="00DF1943" w:rsidRPr="00DF1943" w:rsidRDefault="00DF1943" w:rsidP="004A7B66">
            <w:pPr>
              <w:spacing w:after="0" w:line="240" w:lineRule="auto"/>
              <w:rPr>
                <w:rFonts w:ascii="Times New Roman" w:eastAsia="Times New Roman" w:hAnsi="Times New Roman" w:cs="Times New Roman"/>
                <w:color w:val="000000"/>
                <w:lang w:eastAsia="lv-LV"/>
              </w:rPr>
            </w:pPr>
            <w:r w:rsidRPr="00DF1943">
              <w:rPr>
                <w:rFonts w:ascii="Times New Roman" w:eastAsia="Times New Roman" w:hAnsi="Times New Roman" w:cs="Times New Roman"/>
                <w:color w:val="000000"/>
                <w:lang w:eastAsia="lv-LV"/>
              </w:rPr>
              <w:t xml:space="preserve">Marķējumā </w:t>
            </w:r>
            <w:r w:rsidR="004A7B66" w:rsidRPr="00DF1943">
              <w:rPr>
                <w:rFonts w:ascii="Times New Roman" w:eastAsia="Times New Roman" w:hAnsi="Times New Roman" w:cs="Times New Roman"/>
                <w:color w:val="000000"/>
                <w:lang w:eastAsia="lv-LV"/>
              </w:rPr>
              <w:t xml:space="preserve">kosmētikas līdzeklim </w:t>
            </w:r>
            <w:r w:rsidR="004A7B66">
              <w:rPr>
                <w:rFonts w:ascii="Times New Roman" w:eastAsia="Times New Roman" w:hAnsi="Times New Roman" w:cs="Times New Roman"/>
                <w:color w:val="000000"/>
                <w:lang w:eastAsia="lv-LV"/>
              </w:rPr>
              <w:t>piedēvētas</w:t>
            </w:r>
            <w:r w:rsidRPr="00DF1943">
              <w:rPr>
                <w:rFonts w:ascii="Times New Roman" w:eastAsia="Times New Roman" w:hAnsi="Times New Roman" w:cs="Times New Roman"/>
                <w:color w:val="000000"/>
                <w:lang w:eastAsia="lv-LV"/>
              </w:rPr>
              <w:t xml:space="preserve"> īpašības, kuras </w:t>
            </w:r>
            <w:r w:rsidR="004A7B66">
              <w:rPr>
                <w:rFonts w:ascii="Times New Roman" w:eastAsia="Times New Roman" w:hAnsi="Times New Roman" w:cs="Times New Roman"/>
                <w:color w:val="000000"/>
                <w:lang w:eastAsia="lv-LV"/>
              </w:rPr>
              <w:t xml:space="preserve">tam </w:t>
            </w:r>
            <w:r w:rsidRPr="00DF1943">
              <w:rPr>
                <w:rFonts w:ascii="Times New Roman" w:eastAsia="Times New Roman" w:hAnsi="Times New Roman" w:cs="Times New Roman"/>
                <w:color w:val="000000"/>
                <w:lang w:eastAsia="lv-LV"/>
              </w:rPr>
              <w:t>nepiemīt</w:t>
            </w:r>
          </w:p>
        </w:tc>
        <w:tc>
          <w:tcPr>
            <w:tcW w:w="1700" w:type="dxa"/>
            <w:tcBorders>
              <w:top w:val="nil"/>
              <w:left w:val="single" w:sz="8" w:space="0" w:color="auto"/>
              <w:bottom w:val="single" w:sz="4" w:space="0" w:color="auto"/>
              <w:right w:val="single" w:sz="8" w:space="0" w:color="auto"/>
            </w:tcBorders>
            <w:shd w:val="clear" w:color="auto" w:fill="auto"/>
            <w:noWrap/>
            <w:vAlign w:val="bottom"/>
            <w:hideMark/>
          </w:tcPr>
          <w:p w:rsidR="00DF1943" w:rsidRPr="00DF1943" w:rsidRDefault="00DF1943" w:rsidP="00840C12">
            <w:pPr>
              <w:spacing w:after="0" w:line="240" w:lineRule="auto"/>
              <w:ind w:left="379"/>
              <w:rPr>
                <w:rFonts w:ascii="Times New Roman" w:eastAsia="Times New Roman" w:hAnsi="Times New Roman" w:cs="Times New Roman"/>
                <w:b/>
                <w:bCs/>
                <w:lang w:eastAsia="lv-LV"/>
              </w:rPr>
            </w:pPr>
            <w:r w:rsidRPr="00DF1943">
              <w:rPr>
                <w:rFonts w:ascii="Times New Roman" w:eastAsia="Times New Roman" w:hAnsi="Times New Roman" w:cs="Times New Roman"/>
                <w:b/>
                <w:bCs/>
                <w:lang w:eastAsia="lv-LV"/>
              </w:rPr>
              <w:t>3</w:t>
            </w:r>
            <w:r w:rsidRPr="00DF1943">
              <w:rPr>
                <w:rFonts w:ascii="Times New Roman" w:eastAsia="Times New Roman" w:hAnsi="Times New Roman" w:cs="Times New Roman"/>
                <w:lang w:eastAsia="lv-LV"/>
              </w:rPr>
              <w:t xml:space="preserve"> (1%)</w:t>
            </w:r>
          </w:p>
        </w:tc>
      </w:tr>
      <w:tr w:rsidR="00DF1943" w:rsidRPr="00DF1943" w:rsidTr="00DF1943">
        <w:trPr>
          <w:trHeight w:val="330"/>
        </w:trPr>
        <w:tc>
          <w:tcPr>
            <w:tcW w:w="5760" w:type="dxa"/>
            <w:tcBorders>
              <w:top w:val="nil"/>
              <w:left w:val="single" w:sz="8" w:space="0" w:color="auto"/>
              <w:bottom w:val="single" w:sz="4" w:space="0" w:color="auto"/>
              <w:right w:val="nil"/>
            </w:tcBorders>
            <w:shd w:val="clear" w:color="000000" w:fill="FFFFFF"/>
            <w:vAlign w:val="center"/>
            <w:hideMark/>
          </w:tcPr>
          <w:p w:rsidR="00DF1943" w:rsidRPr="00DF1943" w:rsidRDefault="00DF1943" w:rsidP="00DF1943">
            <w:pPr>
              <w:spacing w:after="0" w:line="240" w:lineRule="auto"/>
              <w:rPr>
                <w:rFonts w:ascii="Times New Roman" w:eastAsia="Times New Roman" w:hAnsi="Times New Roman" w:cs="Times New Roman"/>
                <w:lang w:eastAsia="lv-LV"/>
              </w:rPr>
            </w:pPr>
            <w:r w:rsidRPr="00DF1943">
              <w:rPr>
                <w:rFonts w:ascii="Times New Roman" w:eastAsia="Times New Roman" w:hAnsi="Times New Roman" w:cs="Times New Roman"/>
                <w:lang w:eastAsia="lv-LV"/>
              </w:rPr>
              <w:t>Nav norādīti uzglabāšanas nosacījumi</w:t>
            </w:r>
          </w:p>
        </w:tc>
        <w:tc>
          <w:tcPr>
            <w:tcW w:w="1700" w:type="dxa"/>
            <w:tcBorders>
              <w:top w:val="nil"/>
              <w:left w:val="single" w:sz="8" w:space="0" w:color="auto"/>
              <w:bottom w:val="single" w:sz="4" w:space="0" w:color="auto"/>
              <w:right w:val="single" w:sz="8" w:space="0" w:color="auto"/>
            </w:tcBorders>
            <w:shd w:val="clear" w:color="auto" w:fill="auto"/>
            <w:noWrap/>
            <w:vAlign w:val="bottom"/>
            <w:hideMark/>
          </w:tcPr>
          <w:p w:rsidR="00DF1943" w:rsidRPr="00DF1943" w:rsidRDefault="00DF1943" w:rsidP="00840C12">
            <w:pPr>
              <w:spacing w:after="0" w:line="240" w:lineRule="auto"/>
              <w:ind w:left="379"/>
              <w:rPr>
                <w:rFonts w:ascii="Times New Roman" w:eastAsia="Times New Roman" w:hAnsi="Times New Roman" w:cs="Times New Roman"/>
                <w:b/>
                <w:bCs/>
                <w:lang w:eastAsia="lv-LV"/>
              </w:rPr>
            </w:pPr>
            <w:r w:rsidRPr="00DF1943">
              <w:rPr>
                <w:rFonts w:ascii="Times New Roman" w:eastAsia="Times New Roman" w:hAnsi="Times New Roman" w:cs="Times New Roman"/>
                <w:b/>
                <w:bCs/>
                <w:lang w:eastAsia="lv-LV"/>
              </w:rPr>
              <w:t>2</w:t>
            </w:r>
            <w:r w:rsidR="00840C12">
              <w:rPr>
                <w:rFonts w:ascii="Times New Roman" w:eastAsia="Times New Roman" w:hAnsi="Times New Roman" w:cs="Times New Roman"/>
                <w:b/>
                <w:bCs/>
                <w:lang w:eastAsia="lv-LV"/>
              </w:rPr>
              <w:t xml:space="preserve"> </w:t>
            </w:r>
            <w:r w:rsidR="00840C12" w:rsidRPr="00840C12">
              <w:rPr>
                <w:rFonts w:ascii="Times New Roman" w:eastAsia="Times New Roman" w:hAnsi="Times New Roman" w:cs="Times New Roman"/>
                <w:bCs/>
                <w:lang w:eastAsia="lv-LV"/>
              </w:rPr>
              <w:t>(&lt;1%)</w:t>
            </w:r>
          </w:p>
        </w:tc>
      </w:tr>
      <w:tr w:rsidR="00DF1943" w:rsidRPr="00DF1943" w:rsidTr="00DF1943">
        <w:trPr>
          <w:trHeight w:val="330"/>
        </w:trPr>
        <w:tc>
          <w:tcPr>
            <w:tcW w:w="5760" w:type="dxa"/>
            <w:tcBorders>
              <w:top w:val="nil"/>
              <w:left w:val="single" w:sz="8" w:space="0" w:color="auto"/>
              <w:bottom w:val="single" w:sz="4" w:space="0" w:color="auto"/>
              <w:right w:val="nil"/>
            </w:tcBorders>
            <w:shd w:val="clear" w:color="000000" w:fill="FFFFFF"/>
            <w:vAlign w:val="center"/>
            <w:hideMark/>
          </w:tcPr>
          <w:p w:rsidR="00DF1943" w:rsidRPr="00DF1943" w:rsidRDefault="00DF1943" w:rsidP="00DF1943">
            <w:pPr>
              <w:spacing w:after="0" w:line="240" w:lineRule="auto"/>
              <w:rPr>
                <w:rFonts w:ascii="Times New Roman" w:eastAsia="Times New Roman" w:hAnsi="Times New Roman" w:cs="Times New Roman"/>
                <w:color w:val="000000"/>
                <w:lang w:eastAsia="lv-LV"/>
              </w:rPr>
            </w:pPr>
            <w:r w:rsidRPr="00DF1943">
              <w:rPr>
                <w:rFonts w:ascii="Times New Roman" w:eastAsia="Times New Roman" w:hAnsi="Times New Roman" w:cs="Times New Roman"/>
                <w:color w:val="000000"/>
                <w:lang w:eastAsia="lv-LV"/>
              </w:rPr>
              <w:t>Marķējums nav nodrošināts, nav salasāms</w:t>
            </w:r>
          </w:p>
        </w:tc>
        <w:tc>
          <w:tcPr>
            <w:tcW w:w="1700" w:type="dxa"/>
            <w:tcBorders>
              <w:top w:val="nil"/>
              <w:left w:val="single" w:sz="8" w:space="0" w:color="auto"/>
              <w:bottom w:val="single" w:sz="4" w:space="0" w:color="auto"/>
              <w:right w:val="single" w:sz="8" w:space="0" w:color="auto"/>
            </w:tcBorders>
            <w:shd w:val="clear" w:color="auto" w:fill="auto"/>
            <w:noWrap/>
            <w:vAlign w:val="bottom"/>
            <w:hideMark/>
          </w:tcPr>
          <w:p w:rsidR="00DF1943" w:rsidRPr="00DF1943" w:rsidRDefault="00DF1943" w:rsidP="00840C12">
            <w:pPr>
              <w:spacing w:after="0" w:line="240" w:lineRule="auto"/>
              <w:ind w:left="379"/>
              <w:rPr>
                <w:rFonts w:ascii="Times New Roman" w:eastAsia="Times New Roman" w:hAnsi="Times New Roman" w:cs="Times New Roman"/>
                <w:b/>
                <w:bCs/>
                <w:lang w:eastAsia="lv-LV"/>
              </w:rPr>
            </w:pPr>
            <w:r w:rsidRPr="00DF1943">
              <w:rPr>
                <w:rFonts w:ascii="Times New Roman" w:eastAsia="Times New Roman" w:hAnsi="Times New Roman" w:cs="Times New Roman"/>
                <w:b/>
                <w:bCs/>
                <w:lang w:eastAsia="lv-LV"/>
              </w:rPr>
              <w:t>1</w:t>
            </w:r>
            <w:r w:rsidR="00840C12">
              <w:rPr>
                <w:rFonts w:ascii="Times New Roman" w:eastAsia="Times New Roman" w:hAnsi="Times New Roman" w:cs="Times New Roman"/>
                <w:b/>
                <w:bCs/>
                <w:lang w:eastAsia="lv-LV"/>
              </w:rPr>
              <w:t xml:space="preserve"> </w:t>
            </w:r>
            <w:r w:rsidR="00840C12" w:rsidRPr="00840C12">
              <w:rPr>
                <w:rFonts w:ascii="Times New Roman" w:eastAsia="Times New Roman" w:hAnsi="Times New Roman" w:cs="Times New Roman"/>
                <w:bCs/>
                <w:lang w:eastAsia="lv-LV"/>
              </w:rPr>
              <w:t>(&lt;1%)</w:t>
            </w:r>
          </w:p>
        </w:tc>
      </w:tr>
      <w:tr w:rsidR="00DF1943" w:rsidRPr="00DF1943" w:rsidTr="00DF1943">
        <w:trPr>
          <w:trHeight w:val="330"/>
        </w:trPr>
        <w:tc>
          <w:tcPr>
            <w:tcW w:w="5760" w:type="dxa"/>
            <w:tcBorders>
              <w:top w:val="nil"/>
              <w:left w:val="single" w:sz="8" w:space="0" w:color="auto"/>
              <w:bottom w:val="single" w:sz="8" w:space="0" w:color="auto"/>
              <w:right w:val="nil"/>
            </w:tcBorders>
            <w:shd w:val="clear" w:color="000000" w:fill="FFFFFF"/>
            <w:vAlign w:val="center"/>
            <w:hideMark/>
          </w:tcPr>
          <w:p w:rsidR="00DF1943" w:rsidRPr="00DF1943" w:rsidRDefault="00DF1943" w:rsidP="00DF1943">
            <w:pPr>
              <w:spacing w:after="0" w:line="240" w:lineRule="auto"/>
              <w:rPr>
                <w:rFonts w:ascii="Times New Roman" w:eastAsia="Times New Roman" w:hAnsi="Times New Roman" w:cs="Times New Roman"/>
                <w:color w:val="000000"/>
                <w:lang w:eastAsia="lv-LV"/>
              </w:rPr>
            </w:pPr>
            <w:r w:rsidRPr="00DF1943">
              <w:rPr>
                <w:rFonts w:ascii="Times New Roman" w:eastAsia="Times New Roman" w:hAnsi="Times New Roman" w:cs="Times New Roman"/>
                <w:color w:val="000000"/>
                <w:lang w:eastAsia="lv-LV"/>
              </w:rPr>
              <w:t>Sastāvdaļu nosaukumi nav INCI nomenklatūrā</w:t>
            </w:r>
          </w:p>
        </w:tc>
        <w:tc>
          <w:tcPr>
            <w:tcW w:w="1700" w:type="dxa"/>
            <w:tcBorders>
              <w:top w:val="nil"/>
              <w:left w:val="single" w:sz="8" w:space="0" w:color="auto"/>
              <w:bottom w:val="single" w:sz="8" w:space="0" w:color="auto"/>
              <w:right w:val="single" w:sz="8" w:space="0" w:color="auto"/>
            </w:tcBorders>
            <w:shd w:val="clear" w:color="auto" w:fill="auto"/>
            <w:noWrap/>
            <w:vAlign w:val="bottom"/>
            <w:hideMark/>
          </w:tcPr>
          <w:p w:rsidR="00DF1943" w:rsidRPr="00DF1943" w:rsidRDefault="00DF1943" w:rsidP="00840C12">
            <w:pPr>
              <w:spacing w:after="0" w:line="240" w:lineRule="auto"/>
              <w:ind w:left="379"/>
              <w:rPr>
                <w:rFonts w:ascii="Times New Roman" w:eastAsia="Times New Roman" w:hAnsi="Times New Roman" w:cs="Times New Roman"/>
                <w:b/>
                <w:bCs/>
                <w:lang w:eastAsia="lv-LV"/>
              </w:rPr>
            </w:pPr>
            <w:r w:rsidRPr="00DF1943">
              <w:rPr>
                <w:rFonts w:ascii="Times New Roman" w:eastAsia="Times New Roman" w:hAnsi="Times New Roman" w:cs="Times New Roman"/>
                <w:b/>
                <w:bCs/>
                <w:lang w:eastAsia="lv-LV"/>
              </w:rPr>
              <w:t>1</w:t>
            </w:r>
            <w:r w:rsidR="00840C12">
              <w:rPr>
                <w:rFonts w:ascii="Times New Roman" w:eastAsia="Times New Roman" w:hAnsi="Times New Roman" w:cs="Times New Roman"/>
                <w:b/>
                <w:bCs/>
                <w:lang w:eastAsia="lv-LV"/>
              </w:rPr>
              <w:t xml:space="preserve"> </w:t>
            </w:r>
            <w:r w:rsidR="00840C12" w:rsidRPr="00840C12">
              <w:rPr>
                <w:rFonts w:ascii="Times New Roman" w:eastAsia="Times New Roman" w:hAnsi="Times New Roman" w:cs="Times New Roman"/>
                <w:bCs/>
                <w:lang w:eastAsia="lv-LV"/>
              </w:rPr>
              <w:t>(&lt;1%)</w:t>
            </w:r>
          </w:p>
        </w:tc>
      </w:tr>
    </w:tbl>
    <w:p w:rsidR="00DF1943" w:rsidRDefault="00171800" w:rsidP="00C16B82">
      <w:pPr>
        <w:spacing w:before="120"/>
        <w:jc w:val="both"/>
        <w:rPr>
          <w:rFonts w:ascii="Times New Roman" w:hAnsi="Times New Roman" w:cs="Times New Roman"/>
          <w:sz w:val="24"/>
          <w:szCs w:val="24"/>
        </w:rPr>
      </w:pPr>
      <w:r>
        <w:rPr>
          <w:rFonts w:ascii="Times New Roman" w:hAnsi="Times New Roman" w:cs="Times New Roman"/>
          <w:sz w:val="24"/>
          <w:szCs w:val="24"/>
        </w:rPr>
        <w:t>3</w:t>
      </w:r>
      <w:r w:rsidR="0050576E">
        <w:rPr>
          <w:rFonts w:ascii="Times New Roman" w:hAnsi="Times New Roman" w:cs="Times New Roman"/>
          <w:sz w:val="24"/>
          <w:szCs w:val="24"/>
        </w:rPr>
        <w:t>.t</w:t>
      </w:r>
      <w:r w:rsidR="00DF1943">
        <w:rPr>
          <w:rFonts w:ascii="Times New Roman" w:hAnsi="Times New Roman" w:cs="Times New Roman"/>
          <w:sz w:val="24"/>
          <w:szCs w:val="24"/>
        </w:rPr>
        <w:t xml:space="preserve">abula. </w:t>
      </w:r>
      <w:r w:rsidR="00BE4C38">
        <w:rPr>
          <w:rFonts w:ascii="Times New Roman" w:hAnsi="Times New Roman" w:cs="Times New Roman"/>
          <w:sz w:val="24"/>
          <w:szCs w:val="24"/>
        </w:rPr>
        <w:t>Kontrolēto zobu</w:t>
      </w:r>
      <w:r w:rsidR="00DF1943">
        <w:rPr>
          <w:rFonts w:ascii="Times New Roman" w:hAnsi="Times New Roman" w:cs="Times New Roman"/>
          <w:sz w:val="24"/>
          <w:szCs w:val="24"/>
        </w:rPr>
        <w:t xml:space="preserve"> pastu marķējumā konstatētās neatbilstības</w:t>
      </w:r>
      <w:r w:rsidR="00C804D6">
        <w:rPr>
          <w:rFonts w:ascii="Times New Roman" w:hAnsi="Times New Roman" w:cs="Times New Roman"/>
          <w:sz w:val="24"/>
          <w:szCs w:val="24"/>
        </w:rPr>
        <w:t>.</w:t>
      </w:r>
    </w:p>
    <w:p w:rsidR="00F83D96" w:rsidRDefault="00F83D96" w:rsidP="007B5A49">
      <w:pPr>
        <w:spacing w:after="240" w:line="240" w:lineRule="auto"/>
        <w:ind w:firstLine="567"/>
        <w:jc w:val="both"/>
        <w:rPr>
          <w:rFonts w:ascii="Times New Roman" w:hAnsi="Times New Roman" w:cs="Times New Roman"/>
          <w:sz w:val="24"/>
          <w:szCs w:val="24"/>
        </w:rPr>
      </w:pPr>
      <w:r w:rsidRPr="00A67DE7">
        <w:rPr>
          <w:rFonts w:ascii="Times New Roman" w:hAnsi="Times New Roman" w:cs="Times New Roman"/>
          <w:sz w:val="24"/>
          <w:szCs w:val="24"/>
        </w:rPr>
        <w:t xml:space="preserve">264 (65%) </w:t>
      </w:r>
      <w:r w:rsidR="00A67DE7">
        <w:rPr>
          <w:rFonts w:ascii="Times New Roman" w:hAnsi="Times New Roman" w:cs="Times New Roman"/>
          <w:sz w:val="24"/>
          <w:szCs w:val="24"/>
        </w:rPr>
        <w:t>kontrolēt</w:t>
      </w:r>
      <w:r w:rsidR="00881275">
        <w:rPr>
          <w:rFonts w:ascii="Times New Roman" w:hAnsi="Times New Roman" w:cs="Times New Roman"/>
          <w:sz w:val="24"/>
          <w:szCs w:val="24"/>
        </w:rPr>
        <w:t>ās</w:t>
      </w:r>
      <w:r w:rsidR="00A67DE7">
        <w:rPr>
          <w:rFonts w:ascii="Times New Roman" w:hAnsi="Times New Roman" w:cs="Times New Roman"/>
          <w:sz w:val="24"/>
          <w:szCs w:val="24"/>
        </w:rPr>
        <w:t xml:space="preserve"> </w:t>
      </w:r>
      <w:r w:rsidRPr="00A67DE7">
        <w:rPr>
          <w:rFonts w:ascii="Times New Roman" w:hAnsi="Times New Roman" w:cs="Times New Roman"/>
          <w:sz w:val="24"/>
          <w:szCs w:val="24"/>
        </w:rPr>
        <w:t>zobu past</w:t>
      </w:r>
      <w:r w:rsidR="004B1C80">
        <w:rPr>
          <w:rFonts w:ascii="Times New Roman" w:hAnsi="Times New Roman" w:cs="Times New Roman"/>
          <w:sz w:val="24"/>
          <w:szCs w:val="24"/>
        </w:rPr>
        <w:t>as</w:t>
      </w:r>
      <w:r w:rsidRPr="00A67DE7">
        <w:rPr>
          <w:rFonts w:ascii="Times New Roman" w:hAnsi="Times New Roman" w:cs="Times New Roman"/>
          <w:sz w:val="24"/>
          <w:szCs w:val="24"/>
        </w:rPr>
        <w:t xml:space="preserve"> </w:t>
      </w:r>
      <w:r w:rsidR="004B1C80">
        <w:rPr>
          <w:rFonts w:ascii="Times New Roman" w:hAnsi="Times New Roman" w:cs="Times New Roman"/>
          <w:sz w:val="24"/>
          <w:szCs w:val="24"/>
        </w:rPr>
        <w:t>satur</w:t>
      </w:r>
      <w:r w:rsidRPr="00A67DE7">
        <w:rPr>
          <w:rFonts w:ascii="Times New Roman" w:hAnsi="Times New Roman" w:cs="Times New Roman"/>
          <w:sz w:val="24"/>
          <w:szCs w:val="24"/>
        </w:rPr>
        <w:t xml:space="preserve"> fluor</w:t>
      </w:r>
      <w:r w:rsidR="004B1C80">
        <w:rPr>
          <w:rFonts w:ascii="Times New Roman" w:hAnsi="Times New Roman" w:cs="Times New Roman"/>
          <w:sz w:val="24"/>
          <w:szCs w:val="24"/>
        </w:rPr>
        <w:t>u</w:t>
      </w:r>
      <w:r w:rsidRPr="00A67DE7">
        <w:rPr>
          <w:rFonts w:ascii="Times New Roman" w:hAnsi="Times New Roman" w:cs="Times New Roman"/>
          <w:sz w:val="24"/>
          <w:szCs w:val="24"/>
        </w:rPr>
        <w:t xml:space="preserve">, līdz ar to, saskaņā ar </w:t>
      </w:r>
      <w:r w:rsidR="00047CCB">
        <w:rPr>
          <w:rFonts w:ascii="Times New Roman" w:hAnsi="Times New Roman" w:cs="Times New Roman"/>
          <w:sz w:val="24"/>
          <w:szCs w:val="24"/>
        </w:rPr>
        <w:t xml:space="preserve">Regulas </w:t>
      </w:r>
      <w:r w:rsidR="00047CCB" w:rsidRPr="00B22F69">
        <w:rPr>
          <w:rFonts w:ascii="Times New Roman" w:hAnsi="Times New Roman" w:cs="Times New Roman"/>
          <w:sz w:val="24"/>
          <w:szCs w:val="24"/>
        </w:rPr>
        <w:t>Nr.</w:t>
      </w:r>
      <w:r w:rsidR="007B5A49">
        <w:rPr>
          <w:rFonts w:ascii="Times New Roman" w:hAnsi="Times New Roman" w:cs="Times New Roman"/>
          <w:sz w:val="24"/>
          <w:szCs w:val="24"/>
        </w:rPr>
        <w:t> </w:t>
      </w:r>
      <w:r w:rsidR="00047CCB" w:rsidRPr="00B22F69">
        <w:rPr>
          <w:rFonts w:ascii="Times New Roman" w:hAnsi="Times New Roman" w:cs="Times New Roman"/>
          <w:sz w:val="24"/>
          <w:szCs w:val="24"/>
        </w:rPr>
        <w:t xml:space="preserve">1223/2009 </w:t>
      </w:r>
      <w:r w:rsidRPr="00A67DE7">
        <w:rPr>
          <w:rFonts w:ascii="Times New Roman" w:hAnsi="Times New Roman" w:cs="Times New Roman"/>
          <w:sz w:val="24"/>
          <w:szCs w:val="24"/>
        </w:rPr>
        <w:t>prasībām, zobu pastas marķējumā</w:t>
      </w:r>
      <w:r w:rsidR="00EC7F64">
        <w:rPr>
          <w:rFonts w:ascii="Times New Roman" w:hAnsi="Times New Roman" w:cs="Times New Roman"/>
          <w:sz w:val="24"/>
          <w:szCs w:val="24"/>
        </w:rPr>
        <w:t xml:space="preserve"> </w:t>
      </w:r>
      <w:r w:rsidR="00A67DE7" w:rsidRPr="00A67DE7">
        <w:rPr>
          <w:rFonts w:ascii="Times New Roman" w:hAnsi="Times New Roman" w:cs="Times New Roman"/>
          <w:sz w:val="24"/>
          <w:szCs w:val="24"/>
        </w:rPr>
        <w:t>jānorāda</w:t>
      </w:r>
      <w:r w:rsidR="007B5A49" w:rsidRPr="007B5A49">
        <w:rPr>
          <w:rFonts w:ascii="Times New Roman" w:hAnsi="Times New Roman" w:cs="Times New Roman"/>
          <w:sz w:val="24"/>
          <w:szCs w:val="24"/>
        </w:rPr>
        <w:t xml:space="preserve"> </w:t>
      </w:r>
      <w:r w:rsidR="007B5A49" w:rsidRPr="00A67DE7">
        <w:rPr>
          <w:rFonts w:ascii="Times New Roman" w:hAnsi="Times New Roman" w:cs="Times New Roman"/>
          <w:sz w:val="24"/>
          <w:szCs w:val="24"/>
        </w:rPr>
        <w:t>informācija</w:t>
      </w:r>
      <w:r w:rsidRPr="00A67DE7">
        <w:rPr>
          <w:rFonts w:ascii="Times New Roman" w:hAnsi="Times New Roman" w:cs="Times New Roman"/>
          <w:sz w:val="24"/>
          <w:szCs w:val="24"/>
        </w:rPr>
        <w:t xml:space="preserve"> </w:t>
      </w:r>
      <w:r w:rsidR="004A7B66" w:rsidRPr="00A67DE7">
        <w:rPr>
          <w:rFonts w:ascii="Times New Roman" w:hAnsi="Times New Roman" w:cs="Times New Roman"/>
          <w:sz w:val="24"/>
          <w:szCs w:val="24"/>
        </w:rPr>
        <w:t xml:space="preserve">par </w:t>
      </w:r>
      <w:r w:rsidR="007B5A49">
        <w:rPr>
          <w:rFonts w:ascii="Times New Roman" w:hAnsi="Times New Roman" w:cs="Times New Roman"/>
          <w:sz w:val="24"/>
          <w:szCs w:val="24"/>
        </w:rPr>
        <w:t>fluoru</w:t>
      </w:r>
      <w:r w:rsidRPr="00A67DE7">
        <w:rPr>
          <w:rFonts w:ascii="Times New Roman" w:hAnsi="Times New Roman" w:cs="Times New Roman"/>
          <w:sz w:val="24"/>
          <w:szCs w:val="24"/>
        </w:rPr>
        <w:t xml:space="preserve">. </w:t>
      </w:r>
      <w:r w:rsidR="00A67DE7" w:rsidRPr="00A67DE7">
        <w:rPr>
          <w:rFonts w:ascii="Times New Roman" w:hAnsi="Times New Roman" w:cs="Times New Roman"/>
          <w:sz w:val="24"/>
          <w:szCs w:val="24"/>
        </w:rPr>
        <w:t>Ja fluora koncentrācija zobu pastā pārsniedz 0,1%</w:t>
      </w:r>
      <w:r w:rsidR="004B1C80">
        <w:rPr>
          <w:rFonts w:ascii="Times New Roman" w:hAnsi="Times New Roman" w:cs="Times New Roman"/>
          <w:sz w:val="24"/>
          <w:szCs w:val="24"/>
        </w:rPr>
        <w:t>,</w:t>
      </w:r>
      <w:r w:rsidR="00A67DE7" w:rsidRPr="00A67DE7">
        <w:rPr>
          <w:rFonts w:ascii="Times New Roman" w:hAnsi="Times New Roman" w:cs="Times New Roman"/>
          <w:sz w:val="24"/>
          <w:szCs w:val="24"/>
        </w:rPr>
        <w:t xml:space="preserve"> tās marķējumā </w:t>
      </w:r>
      <w:r w:rsidR="00EC7F64">
        <w:rPr>
          <w:rFonts w:ascii="Times New Roman" w:hAnsi="Times New Roman" w:cs="Times New Roman"/>
          <w:sz w:val="24"/>
          <w:szCs w:val="24"/>
        </w:rPr>
        <w:t>obligāti</w:t>
      </w:r>
      <w:r w:rsidR="00EC7F64" w:rsidRPr="00A67DE7">
        <w:rPr>
          <w:rFonts w:ascii="Times New Roman" w:hAnsi="Times New Roman" w:cs="Times New Roman"/>
          <w:sz w:val="24"/>
          <w:szCs w:val="24"/>
        </w:rPr>
        <w:t xml:space="preserve"> </w:t>
      </w:r>
      <w:r w:rsidR="00A67DE7" w:rsidRPr="00A67DE7">
        <w:rPr>
          <w:rFonts w:ascii="Times New Roman" w:hAnsi="Times New Roman" w:cs="Times New Roman"/>
          <w:sz w:val="24"/>
          <w:szCs w:val="24"/>
        </w:rPr>
        <w:t xml:space="preserve">jānorāda: </w:t>
      </w:r>
      <w:r w:rsidR="00A67DE7" w:rsidRPr="009C5669">
        <w:rPr>
          <w:rFonts w:ascii="Times New Roman" w:hAnsi="Times New Roman" w:cs="Times New Roman"/>
          <w:i/>
          <w:sz w:val="24"/>
          <w:szCs w:val="24"/>
        </w:rPr>
        <w:t>„</w:t>
      </w:r>
      <w:r w:rsidRPr="009C5669">
        <w:rPr>
          <w:rFonts w:ascii="Times New Roman" w:hAnsi="Times New Roman" w:cs="Times New Roman"/>
          <w:i/>
          <w:sz w:val="24"/>
          <w:szCs w:val="24"/>
        </w:rPr>
        <w:t>Bērniem vecumā līdz sešiem gadiem: lietot pastu zirņa lielumā un tīrīt zobus pieaugušā uzraudzībā, lai samazinātu norīšanas iespēju. Ja lietojat citus fluoru saturošus lī</w:t>
      </w:r>
      <w:r w:rsidRPr="009C5669">
        <w:rPr>
          <w:rFonts w:ascii="Times New Roman" w:hAnsi="Times New Roman" w:cs="Times New Roman"/>
          <w:i/>
          <w:sz w:val="24"/>
          <w:szCs w:val="24"/>
        </w:rPr>
        <w:softHyphen/>
        <w:t>dzekļus, konsultējieties ar zobārstu vai ārstu.</w:t>
      </w:r>
      <w:r w:rsidR="00A67DE7" w:rsidRPr="009C5669">
        <w:rPr>
          <w:rFonts w:ascii="Times New Roman" w:hAnsi="Times New Roman" w:cs="Times New Roman"/>
          <w:i/>
          <w:sz w:val="24"/>
          <w:szCs w:val="24"/>
        </w:rPr>
        <w:t>”</w:t>
      </w:r>
      <w:r w:rsidR="005F532A">
        <w:rPr>
          <w:rFonts w:ascii="Times New Roman" w:hAnsi="Times New Roman" w:cs="Times New Roman"/>
          <w:sz w:val="24"/>
          <w:szCs w:val="24"/>
        </w:rPr>
        <w:t xml:space="preserve"> 54 (20%) </w:t>
      </w:r>
      <w:r w:rsidR="00047CCB">
        <w:rPr>
          <w:rFonts w:ascii="Times New Roman" w:hAnsi="Times New Roman" w:cs="Times New Roman"/>
          <w:sz w:val="24"/>
          <w:szCs w:val="24"/>
        </w:rPr>
        <w:t xml:space="preserve">no </w:t>
      </w:r>
      <w:r w:rsidR="006273B4">
        <w:rPr>
          <w:rFonts w:ascii="Times New Roman" w:hAnsi="Times New Roman" w:cs="Times New Roman"/>
          <w:sz w:val="24"/>
          <w:szCs w:val="24"/>
        </w:rPr>
        <w:t>fluoru saturošajām</w:t>
      </w:r>
      <w:r w:rsidR="00047CCB">
        <w:rPr>
          <w:rFonts w:ascii="Times New Roman" w:hAnsi="Times New Roman" w:cs="Times New Roman"/>
          <w:sz w:val="24"/>
          <w:szCs w:val="24"/>
        </w:rPr>
        <w:t xml:space="preserve"> </w:t>
      </w:r>
      <w:r w:rsidR="005F532A">
        <w:rPr>
          <w:rFonts w:ascii="Times New Roman" w:hAnsi="Times New Roman" w:cs="Times New Roman"/>
          <w:sz w:val="24"/>
          <w:szCs w:val="24"/>
        </w:rPr>
        <w:t>zobu past</w:t>
      </w:r>
      <w:r w:rsidR="00047CCB">
        <w:rPr>
          <w:rFonts w:ascii="Times New Roman" w:hAnsi="Times New Roman" w:cs="Times New Roman"/>
          <w:sz w:val="24"/>
          <w:szCs w:val="24"/>
        </w:rPr>
        <w:t>ām, konstatēts, ka</w:t>
      </w:r>
      <w:r w:rsidR="005F532A">
        <w:rPr>
          <w:rFonts w:ascii="Times New Roman" w:hAnsi="Times New Roman" w:cs="Times New Roman"/>
          <w:sz w:val="24"/>
          <w:szCs w:val="24"/>
        </w:rPr>
        <w:t xml:space="preserve"> marķējumā latviešu valodā </w:t>
      </w:r>
      <w:r w:rsidR="00047CCB">
        <w:rPr>
          <w:rFonts w:ascii="Times New Roman" w:hAnsi="Times New Roman" w:cs="Times New Roman"/>
          <w:sz w:val="24"/>
          <w:szCs w:val="24"/>
        </w:rPr>
        <w:t>n</w:t>
      </w:r>
      <w:r w:rsidR="00047CCB" w:rsidRPr="00047CCB">
        <w:rPr>
          <w:rFonts w:ascii="Times New Roman" w:hAnsi="Times New Roman" w:cs="Times New Roman"/>
          <w:sz w:val="24"/>
          <w:szCs w:val="24"/>
        </w:rPr>
        <w:t xml:space="preserve">av norādīti </w:t>
      </w:r>
      <w:r w:rsidR="006273B4">
        <w:rPr>
          <w:rFonts w:ascii="Times New Roman" w:hAnsi="Times New Roman" w:cs="Times New Roman"/>
          <w:sz w:val="24"/>
          <w:szCs w:val="24"/>
        </w:rPr>
        <w:t xml:space="preserve">obligātie </w:t>
      </w:r>
      <w:r w:rsidR="00047CCB" w:rsidRPr="00047CCB">
        <w:rPr>
          <w:rFonts w:ascii="Times New Roman" w:hAnsi="Times New Roman" w:cs="Times New Roman"/>
          <w:sz w:val="24"/>
          <w:szCs w:val="24"/>
        </w:rPr>
        <w:t>piesardzības pasākumi, kas jāievēro lietošanā</w:t>
      </w:r>
      <w:r w:rsidR="009C5669">
        <w:rPr>
          <w:rFonts w:ascii="Times New Roman" w:hAnsi="Times New Roman" w:cs="Times New Roman"/>
          <w:sz w:val="24"/>
          <w:szCs w:val="24"/>
        </w:rPr>
        <w:t xml:space="preserve"> </w:t>
      </w:r>
      <w:r w:rsidR="00690A33">
        <w:rPr>
          <w:rFonts w:ascii="Times New Roman" w:hAnsi="Times New Roman" w:cs="Times New Roman"/>
          <w:sz w:val="24"/>
          <w:szCs w:val="24"/>
        </w:rPr>
        <w:t>(</w:t>
      </w:r>
      <w:r w:rsidR="009D2A9C">
        <w:rPr>
          <w:rFonts w:ascii="Times New Roman" w:hAnsi="Times New Roman" w:cs="Times New Roman"/>
          <w:sz w:val="24"/>
          <w:szCs w:val="24"/>
        </w:rPr>
        <w:t>9</w:t>
      </w:r>
      <w:r w:rsidR="00690A33">
        <w:rPr>
          <w:rFonts w:ascii="Times New Roman" w:hAnsi="Times New Roman" w:cs="Times New Roman"/>
          <w:sz w:val="24"/>
          <w:szCs w:val="24"/>
        </w:rPr>
        <w:t>. attēls)</w:t>
      </w:r>
      <w:r w:rsidR="009C5669">
        <w:rPr>
          <w:rFonts w:ascii="Times New Roman" w:hAnsi="Times New Roman" w:cs="Times New Roman"/>
          <w:sz w:val="24"/>
          <w:szCs w:val="24"/>
        </w:rPr>
        <w:t>.</w:t>
      </w:r>
    </w:p>
    <w:p w:rsidR="00866EEC" w:rsidRDefault="006273B4" w:rsidP="00A67DE7">
      <w:pPr>
        <w:jc w:val="both"/>
        <w:rPr>
          <w:rFonts w:ascii="Times New Roman" w:hAnsi="Times New Roman" w:cs="Times New Roman"/>
          <w:sz w:val="24"/>
          <w:szCs w:val="24"/>
        </w:rPr>
      </w:pPr>
      <w:r w:rsidRPr="006273B4">
        <w:rPr>
          <w:rFonts w:ascii="Times New Roman" w:hAnsi="Times New Roman" w:cs="Times New Roman"/>
          <w:noProof/>
          <w:sz w:val="24"/>
          <w:szCs w:val="24"/>
          <w:lang w:val="en-US"/>
        </w:rPr>
        <w:lastRenderedPageBreak/>
        <w:drawing>
          <wp:inline distT="0" distB="0" distL="0" distR="0">
            <wp:extent cx="4147433" cy="2547924"/>
            <wp:effectExtent l="19050" t="0" r="24517" b="4776"/>
            <wp:docPr id="2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66EEC" w:rsidRDefault="009D2A9C" w:rsidP="00A67DE7">
      <w:pPr>
        <w:jc w:val="both"/>
        <w:rPr>
          <w:rFonts w:ascii="Times New Roman" w:hAnsi="Times New Roman" w:cs="Times New Roman"/>
          <w:sz w:val="24"/>
          <w:szCs w:val="24"/>
        </w:rPr>
      </w:pPr>
      <w:r>
        <w:rPr>
          <w:rFonts w:ascii="Times New Roman" w:hAnsi="Times New Roman" w:cs="Times New Roman"/>
          <w:sz w:val="24"/>
          <w:szCs w:val="24"/>
        </w:rPr>
        <w:t>9</w:t>
      </w:r>
      <w:r w:rsidR="00967830">
        <w:rPr>
          <w:rFonts w:ascii="Times New Roman" w:hAnsi="Times New Roman" w:cs="Times New Roman"/>
          <w:sz w:val="24"/>
          <w:szCs w:val="24"/>
        </w:rPr>
        <w:t>.a</w:t>
      </w:r>
      <w:r w:rsidR="00866EEC">
        <w:rPr>
          <w:rFonts w:ascii="Times New Roman" w:hAnsi="Times New Roman" w:cs="Times New Roman"/>
          <w:sz w:val="24"/>
          <w:szCs w:val="24"/>
        </w:rPr>
        <w:t>ttēls. Fluoru saturošo zobu pastu marķējuma atbilstība prasībām.</w:t>
      </w:r>
    </w:p>
    <w:p w:rsidR="00967830" w:rsidRDefault="00967830" w:rsidP="00194BED">
      <w:pPr>
        <w:spacing w:after="6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Kontroļu laikā netika konstatētas zobu pastas, kuru </w:t>
      </w:r>
      <w:r w:rsidR="009A508D">
        <w:rPr>
          <w:rFonts w:ascii="Times New Roman" w:hAnsi="Times New Roman" w:cs="Times New Roman"/>
          <w:sz w:val="24"/>
          <w:szCs w:val="24"/>
        </w:rPr>
        <w:t>marķējumā būtu norādītas aizliegtas sastāvdaļas</w:t>
      </w:r>
      <w:r w:rsidR="00661843">
        <w:rPr>
          <w:rFonts w:ascii="Times New Roman" w:hAnsi="Times New Roman" w:cs="Times New Roman"/>
          <w:sz w:val="24"/>
          <w:szCs w:val="24"/>
        </w:rPr>
        <w:t>,</w:t>
      </w:r>
      <w:r w:rsidR="009A508D">
        <w:rPr>
          <w:rFonts w:ascii="Times New Roman" w:hAnsi="Times New Roman" w:cs="Times New Roman"/>
          <w:sz w:val="24"/>
          <w:szCs w:val="24"/>
        </w:rPr>
        <w:t xml:space="preserve"> vai kam nav ievēroti lietošanas ierobežojumi, vai arī</w:t>
      </w:r>
      <w:r w:rsidR="00661843">
        <w:rPr>
          <w:rFonts w:ascii="Times New Roman" w:hAnsi="Times New Roman" w:cs="Times New Roman"/>
          <w:sz w:val="24"/>
          <w:szCs w:val="24"/>
        </w:rPr>
        <w:t xml:space="preserve"> k</w:t>
      </w:r>
      <w:r w:rsidRPr="00CB4BF6">
        <w:rPr>
          <w:rFonts w:ascii="Times New Roman" w:hAnsi="Times New Roman" w:cs="Times New Roman"/>
          <w:sz w:val="24"/>
          <w:szCs w:val="24"/>
        </w:rPr>
        <w:t>urām būtu beidzies minimālais derīguma termiņš.</w:t>
      </w:r>
    </w:p>
    <w:p w:rsidR="00661843" w:rsidRPr="00194BED" w:rsidRDefault="00661843" w:rsidP="00AC7113">
      <w:pPr>
        <w:tabs>
          <w:tab w:val="left" w:pos="567"/>
        </w:tabs>
        <w:spacing w:before="240" w:afterLines="60" w:line="240" w:lineRule="auto"/>
        <w:jc w:val="both"/>
        <w:rPr>
          <w:rFonts w:ascii="Times New Roman" w:hAnsi="Times New Roman" w:cs="Times New Roman"/>
          <w:b/>
          <w:sz w:val="24"/>
          <w:szCs w:val="24"/>
        </w:rPr>
      </w:pPr>
      <w:r w:rsidRPr="00194BED">
        <w:rPr>
          <w:rFonts w:ascii="Times New Roman" w:hAnsi="Times New Roman" w:cs="Times New Roman"/>
          <w:b/>
          <w:sz w:val="24"/>
          <w:szCs w:val="24"/>
        </w:rPr>
        <w:t>„Pilnā plaukta” kontroļu rezultātu salīdzinājums ar iepriekšējo gadu kontroļu rezultātiem</w:t>
      </w:r>
    </w:p>
    <w:p w:rsidR="00093762" w:rsidRPr="00006FC0" w:rsidRDefault="007548DF" w:rsidP="00194BED">
      <w:pPr>
        <w:spacing w:after="60" w:line="240" w:lineRule="auto"/>
        <w:ind w:firstLine="567"/>
        <w:jc w:val="both"/>
        <w:rPr>
          <w:rFonts w:ascii="Times New Roman" w:hAnsi="Times New Roman" w:cs="Times New Roman"/>
          <w:sz w:val="24"/>
          <w:szCs w:val="24"/>
        </w:rPr>
      </w:pPr>
      <w:r w:rsidRPr="00CB4BF6">
        <w:rPr>
          <w:rFonts w:ascii="Times New Roman" w:hAnsi="Times New Roman" w:cs="Times New Roman"/>
          <w:sz w:val="24"/>
          <w:szCs w:val="24"/>
        </w:rPr>
        <w:t xml:space="preserve">Salīdzinot „Pilnais plaukts” kontroļu laikā konstatēto neatbilstošo zobu pastu skaitu ar caurmēra plānveida kontrolēs konstatēto </w:t>
      </w:r>
      <w:r w:rsidR="00CB4BF6">
        <w:rPr>
          <w:rFonts w:ascii="Times New Roman" w:hAnsi="Times New Roman" w:cs="Times New Roman"/>
          <w:sz w:val="24"/>
          <w:szCs w:val="24"/>
        </w:rPr>
        <w:t xml:space="preserve">neatbilstošo kosmētikas līdzekļu skaitu </w:t>
      </w:r>
      <w:r w:rsidRPr="00CB4BF6">
        <w:rPr>
          <w:rFonts w:ascii="Times New Roman" w:hAnsi="Times New Roman" w:cs="Times New Roman"/>
          <w:sz w:val="24"/>
          <w:szCs w:val="24"/>
        </w:rPr>
        <w:t>par iepriekšējiem trim gadiem, konstatēts statistiski būtiski mazāks neatbilstošo produktu īpatsvars.</w:t>
      </w:r>
      <w:r w:rsidR="00093762" w:rsidRPr="00093762">
        <w:rPr>
          <w:rFonts w:ascii="Times New Roman" w:hAnsi="Times New Roman" w:cs="Times New Roman"/>
          <w:sz w:val="24"/>
          <w:szCs w:val="24"/>
        </w:rPr>
        <w:t xml:space="preserve"> </w:t>
      </w:r>
      <w:r w:rsidR="00D05B05">
        <w:rPr>
          <w:rFonts w:ascii="Times New Roman" w:hAnsi="Times New Roman" w:cs="Times New Roman"/>
          <w:sz w:val="24"/>
          <w:szCs w:val="24"/>
        </w:rPr>
        <w:t xml:space="preserve">Bet </w:t>
      </w:r>
      <w:r w:rsidR="00093762">
        <w:rPr>
          <w:rFonts w:ascii="Times New Roman" w:hAnsi="Times New Roman" w:cs="Times New Roman"/>
          <w:sz w:val="24"/>
          <w:szCs w:val="24"/>
        </w:rPr>
        <w:t xml:space="preserve">būtiski neatšķiras gadījumu skaits, kad konstatē neatbilstības kosmētikas </w:t>
      </w:r>
      <w:r w:rsidR="00D05B05">
        <w:rPr>
          <w:rFonts w:ascii="Times New Roman" w:hAnsi="Times New Roman" w:cs="Times New Roman"/>
          <w:sz w:val="24"/>
          <w:szCs w:val="24"/>
        </w:rPr>
        <w:t xml:space="preserve">līdzekļu marķējumā </w:t>
      </w:r>
      <w:r w:rsidR="00093762">
        <w:rPr>
          <w:rFonts w:ascii="Times New Roman" w:hAnsi="Times New Roman" w:cs="Times New Roman"/>
          <w:sz w:val="24"/>
          <w:szCs w:val="24"/>
        </w:rPr>
        <w:t>piedēvētajiem apgalvojumiem, kas tiek konstatēts salīdzinoši reti.</w:t>
      </w:r>
    </w:p>
    <w:p w:rsidR="00493207" w:rsidRDefault="006F7266" w:rsidP="00A67DE7">
      <w:pPr>
        <w:jc w:val="both"/>
        <w:rPr>
          <w:rFonts w:ascii="Times New Roman" w:hAnsi="Times New Roman" w:cs="Times New Roman"/>
          <w:sz w:val="24"/>
          <w:szCs w:val="24"/>
        </w:rPr>
      </w:pPr>
      <w:r>
        <w:rPr>
          <w:noProof/>
          <w:lang w:val="en-US"/>
        </w:rPr>
        <w:drawing>
          <wp:inline distT="0" distB="0" distL="0" distR="0">
            <wp:extent cx="4789887" cy="2775005"/>
            <wp:effectExtent l="19050" t="0" r="10713" b="6295"/>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24433" w:rsidRDefault="009D2A9C" w:rsidP="00A67DE7">
      <w:pPr>
        <w:jc w:val="both"/>
        <w:rPr>
          <w:rFonts w:ascii="Times New Roman" w:hAnsi="Times New Roman" w:cs="Times New Roman"/>
          <w:sz w:val="24"/>
          <w:szCs w:val="24"/>
        </w:rPr>
      </w:pPr>
      <w:r>
        <w:rPr>
          <w:rFonts w:ascii="Times New Roman" w:hAnsi="Times New Roman" w:cs="Times New Roman"/>
          <w:sz w:val="24"/>
          <w:szCs w:val="24"/>
        </w:rPr>
        <w:t>10</w:t>
      </w:r>
      <w:r w:rsidR="00E24433">
        <w:rPr>
          <w:rFonts w:ascii="Times New Roman" w:hAnsi="Times New Roman" w:cs="Times New Roman"/>
          <w:sz w:val="24"/>
          <w:szCs w:val="24"/>
        </w:rPr>
        <w:t xml:space="preserve">.attēls. </w:t>
      </w:r>
      <w:r w:rsidR="00A40FA0">
        <w:rPr>
          <w:rFonts w:ascii="Times New Roman" w:hAnsi="Times New Roman" w:cs="Times New Roman"/>
          <w:sz w:val="24"/>
          <w:szCs w:val="24"/>
        </w:rPr>
        <w:t>Neatbilstošo kosmētikas līdzekļu salīdzinājums.</w:t>
      </w:r>
    </w:p>
    <w:p w:rsidR="00D05B05" w:rsidRDefault="007B5A49" w:rsidP="00325858">
      <w:pPr>
        <w:spacing w:after="240" w:line="240" w:lineRule="auto"/>
        <w:ind w:firstLine="720"/>
        <w:jc w:val="both"/>
        <w:rPr>
          <w:rFonts w:ascii="Times New Roman" w:hAnsi="Times New Roman" w:cs="Times New Roman"/>
          <w:sz w:val="24"/>
          <w:szCs w:val="24"/>
        </w:rPr>
      </w:pPr>
      <w:r>
        <w:rPr>
          <w:rFonts w:ascii="Times New Roman" w:hAnsi="Times New Roman" w:cs="Times New Roman"/>
          <w:sz w:val="24"/>
          <w:szCs w:val="24"/>
        </w:rPr>
        <w:t>Salīdzināti „p</w:t>
      </w:r>
      <w:r w:rsidR="00D05B05">
        <w:rPr>
          <w:rFonts w:ascii="Times New Roman" w:hAnsi="Times New Roman" w:cs="Times New Roman"/>
          <w:sz w:val="24"/>
          <w:szCs w:val="24"/>
        </w:rPr>
        <w:t>ilnā plaukta” zobu pastu</w:t>
      </w:r>
      <w:r w:rsidR="00A83334">
        <w:rPr>
          <w:rFonts w:ascii="Times New Roman" w:hAnsi="Times New Roman" w:cs="Times New Roman"/>
          <w:sz w:val="24"/>
          <w:szCs w:val="24"/>
        </w:rPr>
        <w:t xml:space="preserve"> kontroļu</w:t>
      </w:r>
      <w:r>
        <w:rPr>
          <w:rFonts w:ascii="Times New Roman" w:hAnsi="Times New Roman" w:cs="Times New Roman"/>
          <w:sz w:val="24"/>
          <w:szCs w:val="24"/>
        </w:rPr>
        <w:t xml:space="preserve"> rezultāti ar 2018. gada</w:t>
      </w:r>
      <w:r w:rsidR="00D05B05">
        <w:rPr>
          <w:rFonts w:ascii="Times New Roman" w:hAnsi="Times New Roman" w:cs="Times New Roman"/>
          <w:sz w:val="24"/>
          <w:szCs w:val="24"/>
        </w:rPr>
        <w:t xml:space="preserve"> </w:t>
      </w:r>
      <w:r w:rsidR="00FA7B4F">
        <w:rPr>
          <w:rFonts w:ascii="Times New Roman" w:hAnsi="Times New Roman" w:cs="Times New Roman"/>
          <w:sz w:val="24"/>
          <w:szCs w:val="24"/>
        </w:rPr>
        <w:t>plānveid</w:t>
      </w:r>
      <w:r>
        <w:rPr>
          <w:rFonts w:ascii="Times New Roman" w:hAnsi="Times New Roman" w:cs="Times New Roman"/>
          <w:sz w:val="24"/>
          <w:szCs w:val="24"/>
        </w:rPr>
        <w:t>a</w:t>
      </w:r>
      <w:r w:rsidR="00D05B05">
        <w:rPr>
          <w:rFonts w:ascii="Times New Roman" w:hAnsi="Times New Roman" w:cs="Times New Roman"/>
          <w:sz w:val="24"/>
          <w:szCs w:val="24"/>
        </w:rPr>
        <w:t xml:space="preserve"> </w:t>
      </w:r>
      <w:r>
        <w:rPr>
          <w:rFonts w:ascii="Times New Roman" w:hAnsi="Times New Roman" w:cs="Times New Roman"/>
          <w:sz w:val="24"/>
          <w:szCs w:val="24"/>
        </w:rPr>
        <w:t xml:space="preserve">kontroļu rezutātiem </w:t>
      </w:r>
      <w:r w:rsidR="00D05B05">
        <w:rPr>
          <w:rFonts w:ascii="Times New Roman" w:hAnsi="Times New Roman" w:cs="Times New Roman"/>
          <w:sz w:val="24"/>
          <w:szCs w:val="24"/>
        </w:rPr>
        <w:t>zobu past</w:t>
      </w:r>
      <w:r w:rsidR="00FA7B4F">
        <w:rPr>
          <w:rFonts w:ascii="Times New Roman" w:hAnsi="Times New Roman" w:cs="Times New Roman"/>
          <w:sz w:val="24"/>
          <w:szCs w:val="24"/>
        </w:rPr>
        <w:t>ām. Kopā 2018.</w:t>
      </w:r>
      <w:r>
        <w:rPr>
          <w:rFonts w:ascii="Times New Roman" w:hAnsi="Times New Roman" w:cs="Times New Roman"/>
          <w:sz w:val="24"/>
          <w:szCs w:val="24"/>
        </w:rPr>
        <w:t> </w:t>
      </w:r>
      <w:r w:rsidR="00FA7B4F">
        <w:rPr>
          <w:rFonts w:ascii="Times New Roman" w:hAnsi="Times New Roman" w:cs="Times New Roman"/>
          <w:sz w:val="24"/>
          <w:szCs w:val="24"/>
        </w:rPr>
        <w:t>gadā</w:t>
      </w:r>
      <w:r w:rsidR="00D05B05">
        <w:rPr>
          <w:rFonts w:ascii="Times New Roman" w:hAnsi="Times New Roman" w:cs="Times New Roman"/>
          <w:sz w:val="24"/>
          <w:szCs w:val="24"/>
        </w:rPr>
        <w:t xml:space="preserve"> gan vairumtirdzniecības, gan mazumtirdzniecības uzņēmumos tika kontrolētas 54 zobu pastas, kas ir 4,2% no visiem gada </w:t>
      </w:r>
      <w:r w:rsidR="00D05B05">
        <w:rPr>
          <w:rFonts w:ascii="Times New Roman" w:hAnsi="Times New Roman" w:cs="Times New Roman"/>
          <w:sz w:val="24"/>
          <w:szCs w:val="24"/>
        </w:rPr>
        <w:lastRenderedPageBreak/>
        <w:t xml:space="preserve">laikā kontrolētajiem kosmētikas līdzekļiem. Neatbilstības marķējumā konstatētas </w:t>
      </w:r>
      <w:r w:rsidR="000F67F6">
        <w:rPr>
          <w:rFonts w:ascii="Times New Roman" w:hAnsi="Times New Roman" w:cs="Times New Roman"/>
          <w:sz w:val="24"/>
          <w:szCs w:val="24"/>
        </w:rPr>
        <w:t>astoņām (14,8%)</w:t>
      </w:r>
      <w:r w:rsidR="00FA7B4F">
        <w:rPr>
          <w:rFonts w:ascii="Times New Roman" w:hAnsi="Times New Roman" w:cs="Times New Roman"/>
          <w:sz w:val="24"/>
          <w:szCs w:val="24"/>
        </w:rPr>
        <w:t xml:space="preserve"> zobu pastām, kas būtiski neatšķiras no „</w:t>
      </w:r>
      <w:r>
        <w:rPr>
          <w:rFonts w:ascii="Times New Roman" w:hAnsi="Times New Roman" w:cs="Times New Roman"/>
          <w:sz w:val="24"/>
          <w:szCs w:val="24"/>
        </w:rPr>
        <w:t>p</w:t>
      </w:r>
      <w:r w:rsidR="00FA7B4F">
        <w:rPr>
          <w:rFonts w:ascii="Times New Roman" w:hAnsi="Times New Roman" w:cs="Times New Roman"/>
          <w:sz w:val="24"/>
          <w:szCs w:val="24"/>
        </w:rPr>
        <w:t>ilnā plaukta” kontrolēs konstatētajām neatbilstībām marķējumā (19,3%)</w:t>
      </w:r>
      <w:r w:rsidR="0003264F">
        <w:rPr>
          <w:rFonts w:ascii="Times New Roman" w:hAnsi="Times New Roman" w:cs="Times New Roman"/>
          <w:sz w:val="24"/>
          <w:szCs w:val="24"/>
        </w:rPr>
        <w:t xml:space="preserve"> (</w:t>
      </w:r>
      <w:r w:rsidR="00661843">
        <w:rPr>
          <w:rFonts w:ascii="Times New Roman" w:hAnsi="Times New Roman" w:cs="Times New Roman"/>
          <w:sz w:val="24"/>
          <w:szCs w:val="24"/>
        </w:rPr>
        <w:t>10</w:t>
      </w:r>
      <w:r w:rsidR="0003264F">
        <w:rPr>
          <w:rFonts w:ascii="Times New Roman" w:hAnsi="Times New Roman" w:cs="Times New Roman"/>
          <w:sz w:val="24"/>
          <w:szCs w:val="24"/>
        </w:rPr>
        <w:t>.attēls)</w:t>
      </w:r>
      <w:r w:rsidR="000F67F6">
        <w:rPr>
          <w:rFonts w:ascii="Times New Roman" w:hAnsi="Times New Roman" w:cs="Times New Roman"/>
          <w:sz w:val="24"/>
          <w:szCs w:val="24"/>
        </w:rPr>
        <w:t>.</w:t>
      </w:r>
    </w:p>
    <w:p w:rsidR="00E5005E" w:rsidRDefault="00245465" w:rsidP="00A67DE7">
      <w:pPr>
        <w:jc w:val="both"/>
        <w:rPr>
          <w:rFonts w:ascii="Times New Roman" w:hAnsi="Times New Roman" w:cs="Times New Roman"/>
          <w:sz w:val="24"/>
          <w:szCs w:val="24"/>
        </w:rPr>
      </w:pPr>
      <w:r w:rsidRPr="00245465">
        <w:rPr>
          <w:rFonts w:ascii="Times New Roman" w:hAnsi="Times New Roman" w:cs="Times New Roman"/>
          <w:noProof/>
          <w:sz w:val="24"/>
          <w:szCs w:val="24"/>
          <w:lang w:val="en-US"/>
        </w:rPr>
        <w:drawing>
          <wp:inline distT="0" distB="0" distL="0" distR="0">
            <wp:extent cx="5182042" cy="3840480"/>
            <wp:effectExtent l="19050" t="0" r="18608" b="762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5005E" w:rsidRDefault="00661843" w:rsidP="00A67DE7">
      <w:pPr>
        <w:jc w:val="both"/>
        <w:rPr>
          <w:rFonts w:ascii="Times New Roman" w:hAnsi="Times New Roman" w:cs="Times New Roman"/>
          <w:sz w:val="24"/>
          <w:szCs w:val="24"/>
        </w:rPr>
      </w:pPr>
      <w:r>
        <w:rPr>
          <w:rFonts w:ascii="Times New Roman" w:hAnsi="Times New Roman" w:cs="Times New Roman"/>
          <w:sz w:val="24"/>
          <w:szCs w:val="24"/>
        </w:rPr>
        <w:t>1</w:t>
      </w:r>
      <w:r w:rsidR="009D2A9C">
        <w:rPr>
          <w:rFonts w:ascii="Times New Roman" w:hAnsi="Times New Roman" w:cs="Times New Roman"/>
          <w:sz w:val="24"/>
          <w:szCs w:val="24"/>
        </w:rPr>
        <w:t>1</w:t>
      </w:r>
      <w:r w:rsidR="00FA7B4F">
        <w:rPr>
          <w:rFonts w:ascii="Times New Roman" w:hAnsi="Times New Roman" w:cs="Times New Roman"/>
          <w:sz w:val="24"/>
          <w:szCs w:val="24"/>
        </w:rPr>
        <w:t>.attēls</w:t>
      </w:r>
      <w:r w:rsidR="00A325ED">
        <w:rPr>
          <w:rFonts w:ascii="Times New Roman" w:hAnsi="Times New Roman" w:cs="Times New Roman"/>
          <w:sz w:val="24"/>
          <w:szCs w:val="24"/>
        </w:rPr>
        <w:t>.</w:t>
      </w:r>
      <w:r w:rsidR="00FA7B4F">
        <w:rPr>
          <w:rFonts w:ascii="Times New Roman" w:hAnsi="Times New Roman" w:cs="Times New Roman"/>
          <w:sz w:val="24"/>
          <w:szCs w:val="24"/>
        </w:rPr>
        <w:t xml:space="preserve"> </w:t>
      </w:r>
      <w:r w:rsidR="00A325ED">
        <w:rPr>
          <w:rFonts w:ascii="Times New Roman" w:hAnsi="Times New Roman" w:cs="Times New Roman"/>
          <w:sz w:val="24"/>
          <w:szCs w:val="24"/>
        </w:rPr>
        <w:t>„Pilnā plaukta” un plānveida kontrolēs</w:t>
      </w:r>
      <w:r w:rsidR="00FA7B4F">
        <w:rPr>
          <w:rFonts w:ascii="Times New Roman" w:hAnsi="Times New Roman" w:cs="Times New Roman"/>
          <w:sz w:val="24"/>
          <w:szCs w:val="24"/>
        </w:rPr>
        <w:t xml:space="preserve"> marķējumā konstatēto neatbilstību salīdzinājums.</w:t>
      </w:r>
    </w:p>
    <w:p w:rsidR="005B4EDD" w:rsidRDefault="005B4EDD" w:rsidP="00A67DE7">
      <w:pPr>
        <w:jc w:val="both"/>
        <w:rPr>
          <w:rFonts w:ascii="Times New Roman" w:hAnsi="Times New Roman" w:cs="Times New Roman"/>
          <w:b/>
          <w:sz w:val="24"/>
          <w:szCs w:val="24"/>
        </w:rPr>
      </w:pPr>
      <w:r w:rsidRPr="009F0D52">
        <w:rPr>
          <w:rFonts w:ascii="Times New Roman" w:hAnsi="Times New Roman" w:cs="Times New Roman"/>
          <w:b/>
          <w:sz w:val="24"/>
          <w:szCs w:val="24"/>
        </w:rPr>
        <w:t>Secinājumi:</w:t>
      </w:r>
    </w:p>
    <w:p w:rsidR="00735030" w:rsidRPr="009A7E36" w:rsidRDefault="00735030" w:rsidP="001E5D6E">
      <w:pPr>
        <w:pStyle w:val="ListParagraph"/>
        <w:numPr>
          <w:ilvl w:val="0"/>
          <w:numId w:val="1"/>
        </w:numPr>
        <w:spacing w:after="0" w:line="240" w:lineRule="auto"/>
        <w:jc w:val="both"/>
        <w:rPr>
          <w:rFonts w:ascii="Times New Roman" w:hAnsi="Times New Roman" w:cs="Times New Roman"/>
          <w:sz w:val="24"/>
          <w:szCs w:val="24"/>
        </w:rPr>
      </w:pPr>
      <w:r w:rsidRPr="00325858">
        <w:rPr>
          <w:rFonts w:ascii="Times New Roman" w:hAnsi="Times New Roman" w:cs="Times New Roman"/>
          <w:sz w:val="24"/>
          <w:szCs w:val="24"/>
        </w:rPr>
        <w:t xml:space="preserve">„Pilnā plaukta” kontrolēs, kad tika kontrolēti pilnīgi visi </w:t>
      </w:r>
      <w:r w:rsidR="00325858" w:rsidRPr="00325858">
        <w:rPr>
          <w:rFonts w:ascii="Times New Roman" w:hAnsi="Times New Roman" w:cs="Times New Roman"/>
          <w:sz w:val="24"/>
          <w:szCs w:val="24"/>
        </w:rPr>
        <w:t xml:space="preserve">tobrīd </w:t>
      </w:r>
      <w:r w:rsidRPr="00325858">
        <w:rPr>
          <w:rFonts w:ascii="Times New Roman" w:hAnsi="Times New Roman" w:cs="Times New Roman"/>
          <w:sz w:val="24"/>
          <w:szCs w:val="24"/>
        </w:rPr>
        <w:t xml:space="preserve">plauktā mazumtirdzniecībā esošie </w:t>
      </w:r>
      <w:r w:rsidR="001E5D6E">
        <w:rPr>
          <w:rFonts w:ascii="Times New Roman" w:hAnsi="Times New Roman" w:cs="Times New Roman"/>
          <w:sz w:val="24"/>
          <w:szCs w:val="24"/>
        </w:rPr>
        <w:t>kosmētikas līdzekļi –</w:t>
      </w:r>
      <w:r w:rsidRPr="00325858">
        <w:rPr>
          <w:rFonts w:ascii="Times New Roman" w:hAnsi="Times New Roman" w:cs="Times New Roman"/>
          <w:sz w:val="24"/>
          <w:szCs w:val="24"/>
        </w:rPr>
        <w:t xml:space="preserve"> zobu pastas (408), konstatēts statistiski būtiski mazāks neatbilstību  īpatsvars marķējumā, salīdzinājumā ar iepriekšējo trīs gadu kontroļu rezultātiem. Šie dati apstiprina, ka veicot uz riska kritērijiem balstītu produktu atlasi, kad inspektors kontrolei atlasa līdz desmit produktus, kam </w:t>
      </w:r>
      <w:r w:rsidR="00325858" w:rsidRPr="00325858">
        <w:rPr>
          <w:rFonts w:ascii="Times New Roman" w:hAnsi="Times New Roman" w:cs="Times New Roman"/>
          <w:sz w:val="24"/>
          <w:szCs w:val="24"/>
        </w:rPr>
        <w:t xml:space="preserve">ir </w:t>
      </w:r>
      <w:r w:rsidRPr="00325858">
        <w:rPr>
          <w:rFonts w:ascii="Times New Roman" w:hAnsi="Times New Roman" w:cs="Times New Roman"/>
          <w:sz w:val="24"/>
          <w:szCs w:val="24"/>
        </w:rPr>
        <w:t xml:space="preserve">potenciāli lielāka varbūtība konstatēt neatbilstības normatīvo aktu prasībām, tiek panākta augstāka kontroles efektivitāte, neatbilstību konstatēšana un novēršana. </w:t>
      </w:r>
    </w:p>
    <w:p w:rsidR="0050576E" w:rsidRPr="007548DF" w:rsidRDefault="0050576E" w:rsidP="00194BED">
      <w:pPr>
        <w:pStyle w:val="ListParagraph"/>
        <w:numPr>
          <w:ilvl w:val="0"/>
          <w:numId w:val="1"/>
        </w:numPr>
        <w:spacing w:before="120" w:after="120" w:line="240" w:lineRule="auto"/>
        <w:ind w:left="714" w:hanging="357"/>
        <w:jc w:val="both"/>
        <w:rPr>
          <w:rFonts w:ascii="Times New Roman" w:hAnsi="Times New Roman" w:cs="Times New Roman"/>
          <w:sz w:val="24"/>
          <w:szCs w:val="24"/>
        </w:rPr>
      </w:pPr>
      <w:r w:rsidRPr="007548DF">
        <w:rPr>
          <w:rFonts w:ascii="Times New Roman" w:hAnsi="Times New Roman" w:cs="Times New Roman"/>
          <w:sz w:val="24"/>
          <w:szCs w:val="24"/>
        </w:rPr>
        <w:t>Kosmētikas līdzekļu uzraudzībā ražotāju un importētāju kontrole arī turpmāk jāsaglabā kā prioritāte, jo šiem uzņēmumiem ir lielākā atbildība par tirgū laistajiem kosmētikas līdzekļiem, kā arī biežāk konstatētas neatbilstības marķējumā (26%) salīdzinot ar izplatītajiem kosmētikas līdzekļiem (17%).</w:t>
      </w:r>
    </w:p>
    <w:p w:rsidR="003B6ECB" w:rsidRPr="001E5D6E" w:rsidRDefault="001E5D6E" w:rsidP="003B6ECB">
      <w:pPr>
        <w:pStyle w:val="ListParagraph"/>
        <w:numPr>
          <w:ilvl w:val="0"/>
          <w:numId w:val="1"/>
        </w:numPr>
        <w:spacing w:before="120" w:after="120" w:line="240" w:lineRule="auto"/>
        <w:ind w:left="714" w:hanging="357"/>
        <w:jc w:val="both"/>
        <w:rPr>
          <w:rFonts w:ascii="Times New Roman" w:hAnsi="Times New Roman" w:cs="Times New Roman"/>
          <w:sz w:val="24"/>
          <w:szCs w:val="24"/>
        </w:rPr>
      </w:pPr>
      <w:r w:rsidRPr="001E5D6E">
        <w:rPr>
          <w:rFonts w:ascii="Times New Roman" w:hAnsi="Times New Roman" w:cs="Times New Roman"/>
          <w:sz w:val="24"/>
          <w:szCs w:val="24"/>
        </w:rPr>
        <w:t>Tirgū esošajā</w:t>
      </w:r>
      <w:r w:rsidR="00F27B02" w:rsidRPr="001E5D6E">
        <w:rPr>
          <w:rFonts w:ascii="Times New Roman" w:hAnsi="Times New Roman" w:cs="Times New Roman"/>
          <w:sz w:val="24"/>
          <w:szCs w:val="24"/>
        </w:rPr>
        <w:t xml:space="preserve">m </w:t>
      </w:r>
      <w:r w:rsidR="00146277" w:rsidRPr="001E5D6E">
        <w:rPr>
          <w:rFonts w:ascii="Times New Roman" w:hAnsi="Times New Roman" w:cs="Times New Roman"/>
          <w:sz w:val="24"/>
          <w:szCs w:val="24"/>
        </w:rPr>
        <w:t xml:space="preserve">zobu pastām </w:t>
      </w:r>
      <w:r w:rsidR="00F27B02" w:rsidRPr="001E5D6E">
        <w:rPr>
          <w:rFonts w:ascii="Times New Roman" w:hAnsi="Times New Roman" w:cs="Times New Roman"/>
          <w:sz w:val="24"/>
          <w:szCs w:val="24"/>
        </w:rPr>
        <w:t>visbiežākā</w:t>
      </w:r>
      <w:r w:rsidR="00DD5302" w:rsidRPr="001E5D6E">
        <w:rPr>
          <w:rFonts w:ascii="Times New Roman" w:hAnsi="Times New Roman" w:cs="Times New Roman"/>
          <w:sz w:val="24"/>
          <w:szCs w:val="24"/>
        </w:rPr>
        <w:t>s</w:t>
      </w:r>
      <w:r w:rsidR="00F27B02" w:rsidRPr="001E5D6E">
        <w:rPr>
          <w:rFonts w:ascii="Times New Roman" w:hAnsi="Times New Roman" w:cs="Times New Roman"/>
          <w:sz w:val="24"/>
          <w:szCs w:val="24"/>
        </w:rPr>
        <w:t xml:space="preserve"> neatbilstība</w:t>
      </w:r>
      <w:r w:rsidR="00DD5302" w:rsidRPr="001E5D6E">
        <w:rPr>
          <w:rFonts w:ascii="Times New Roman" w:hAnsi="Times New Roman" w:cs="Times New Roman"/>
          <w:sz w:val="24"/>
          <w:szCs w:val="24"/>
        </w:rPr>
        <w:t>s</w:t>
      </w:r>
      <w:r w:rsidR="00F27B02" w:rsidRPr="001E5D6E">
        <w:rPr>
          <w:rFonts w:ascii="Times New Roman" w:hAnsi="Times New Roman" w:cs="Times New Roman"/>
          <w:sz w:val="24"/>
          <w:szCs w:val="24"/>
        </w:rPr>
        <w:t xml:space="preserve"> ir nekorekta vai nepilnīga informācija </w:t>
      </w:r>
      <w:r w:rsidR="00146277" w:rsidRPr="001E5D6E">
        <w:rPr>
          <w:rFonts w:ascii="Times New Roman" w:hAnsi="Times New Roman" w:cs="Times New Roman"/>
          <w:sz w:val="24"/>
          <w:szCs w:val="24"/>
        </w:rPr>
        <w:t>latviešu valodas marķējumā attiecībā uz sastāvdaļām</w:t>
      </w:r>
      <w:r w:rsidR="00E63E81" w:rsidRPr="001E5D6E">
        <w:rPr>
          <w:rFonts w:ascii="Times New Roman" w:hAnsi="Times New Roman" w:cs="Times New Roman"/>
          <w:sz w:val="24"/>
          <w:szCs w:val="24"/>
        </w:rPr>
        <w:t xml:space="preserve">, bet </w:t>
      </w:r>
      <w:r w:rsidR="00DD5302" w:rsidRPr="001E5D6E">
        <w:rPr>
          <w:rFonts w:ascii="Times New Roman" w:hAnsi="Times New Roman" w:cs="Times New Roman"/>
          <w:sz w:val="24"/>
          <w:szCs w:val="24"/>
        </w:rPr>
        <w:t>šīm neatbilstībām nav n</w:t>
      </w:r>
      <w:bookmarkStart w:id="0" w:name="_GoBack"/>
      <w:bookmarkEnd w:id="0"/>
      <w:r w:rsidR="00DD5302" w:rsidRPr="001E5D6E">
        <w:rPr>
          <w:rFonts w:ascii="Times New Roman" w:hAnsi="Times New Roman" w:cs="Times New Roman"/>
          <w:sz w:val="24"/>
          <w:szCs w:val="24"/>
        </w:rPr>
        <w:t>ozīmīga</w:t>
      </w:r>
      <w:r w:rsidR="00E63E81" w:rsidRPr="001E5D6E">
        <w:rPr>
          <w:rFonts w:ascii="Times New Roman" w:hAnsi="Times New Roman" w:cs="Times New Roman"/>
          <w:sz w:val="24"/>
          <w:szCs w:val="24"/>
        </w:rPr>
        <w:t>s ietekm</w:t>
      </w:r>
      <w:r w:rsidR="00DD5302" w:rsidRPr="001E5D6E">
        <w:rPr>
          <w:rFonts w:ascii="Times New Roman" w:hAnsi="Times New Roman" w:cs="Times New Roman"/>
          <w:sz w:val="24"/>
          <w:szCs w:val="24"/>
        </w:rPr>
        <w:t>es uz</w:t>
      </w:r>
      <w:r w:rsidR="00F27B02" w:rsidRPr="001E5D6E">
        <w:rPr>
          <w:rFonts w:ascii="Times New Roman" w:hAnsi="Times New Roman" w:cs="Times New Roman"/>
          <w:sz w:val="24"/>
          <w:szCs w:val="24"/>
        </w:rPr>
        <w:t xml:space="preserve"> produkta drošu lietošanu.</w:t>
      </w:r>
    </w:p>
    <w:sectPr w:rsidR="003B6ECB" w:rsidRPr="001E5D6E" w:rsidSect="00325858">
      <w:pgSz w:w="11906" w:h="16838"/>
      <w:pgMar w:top="1440" w:right="1133" w:bottom="1440" w:left="180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8C266A8" w15:done="0"/>
  <w15:commentEx w15:paraId="1A525DAF" w15:done="0"/>
  <w15:commentEx w15:paraId="4258C70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C266A8" w16cid:durableId="207F201F"/>
  <w16cid:commentId w16cid:paraId="1A525DAF" w16cid:durableId="207F2F11"/>
  <w16cid:commentId w16cid:paraId="4258C70D" w16cid:durableId="207F3971"/>
</w16cid:commentsId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E116D3"/>
    <w:multiLevelType w:val="hybridMultilevel"/>
    <w:tmpl w:val="7F2C494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6860072E"/>
    <w:multiLevelType w:val="hybridMultilevel"/>
    <w:tmpl w:val="46EC28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unārs Rumpēters">
    <w15:presenceInfo w15:providerId="None" w15:userId="Gunārs Rumpēters"/>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196B8C"/>
    <w:rsid w:val="00001BD1"/>
    <w:rsid w:val="00006FC0"/>
    <w:rsid w:val="00021BCB"/>
    <w:rsid w:val="00023FDC"/>
    <w:rsid w:val="00026D29"/>
    <w:rsid w:val="0003264F"/>
    <w:rsid w:val="00041A0F"/>
    <w:rsid w:val="00047CCB"/>
    <w:rsid w:val="00052D95"/>
    <w:rsid w:val="00093762"/>
    <w:rsid w:val="000A23F6"/>
    <w:rsid w:val="000A257C"/>
    <w:rsid w:val="000A46D1"/>
    <w:rsid w:val="000B20DD"/>
    <w:rsid w:val="000B6855"/>
    <w:rsid w:val="000C5010"/>
    <w:rsid w:val="000C721F"/>
    <w:rsid w:val="000D387A"/>
    <w:rsid w:val="000E2838"/>
    <w:rsid w:val="000F67F6"/>
    <w:rsid w:val="0012176D"/>
    <w:rsid w:val="001317F5"/>
    <w:rsid w:val="00137476"/>
    <w:rsid w:val="00146277"/>
    <w:rsid w:val="00171800"/>
    <w:rsid w:val="00177C05"/>
    <w:rsid w:val="00180336"/>
    <w:rsid w:val="00193C31"/>
    <w:rsid w:val="00194BED"/>
    <w:rsid w:val="00196B8C"/>
    <w:rsid w:val="001A5838"/>
    <w:rsid w:val="001B7493"/>
    <w:rsid w:val="001B7A14"/>
    <w:rsid w:val="001C4D8C"/>
    <w:rsid w:val="001D39C5"/>
    <w:rsid w:val="001D6939"/>
    <w:rsid w:val="001E1E85"/>
    <w:rsid w:val="001E5D6E"/>
    <w:rsid w:val="001F093E"/>
    <w:rsid w:val="001F1AAA"/>
    <w:rsid w:val="001F6937"/>
    <w:rsid w:val="00203D17"/>
    <w:rsid w:val="002272B6"/>
    <w:rsid w:val="002329DD"/>
    <w:rsid w:val="00235B41"/>
    <w:rsid w:val="00240203"/>
    <w:rsid w:val="00241F82"/>
    <w:rsid w:val="00245465"/>
    <w:rsid w:val="00250CE4"/>
    <w:rsid w:val="002536E8"/>
    <w:rsid w:val="00256658"/>
    <w:rsid w:val="002606FA"/>
    <w:rsid w:val="00266C30"/>
    <w:rsid w:val="00281487"/>
    <w:rsid w:val="00283C86"/>
    <w:rsid w:val="00285CCE"/>
    <w:rsid w:val="00291464"/>
    <w:rsid w:val="00292276"/>
    <w:rsid w:val="002A010D"/>
    <w:rsid w:val="002B045B"/>
    <w:rsid w:val="002B20A1"/>
    <w:rsid w:val="003002F3"/>
    <w:rsid w:val="00325858"/>
    <w:rsid w:val="003348B2"/>
    <w:rsid w:val="00342F1B"/>
    <w:rsid w:val="00346B42"/>
    <w:rsid w:val="00357E60"/>
    <w:rsid w:val="00362B34"/>
    <w:rsid w:val="00367189"/>
    <w:rsid w:val="00383AA6"/>
    <w:rsid w:val="00387B6F"/>
    <w:rsid w:val="003956F5"/>
    <w:rsid w:val="003A65EB"/>
    <w:rsid w:val="003B554C"/>
    <w:rsid w:val="003B6ECB"/>
    <w:rsid w:val="003C0D1E"/>
    <w:rsid w:val="003C23F2"/>
    <w:rsid w:val="003C544F"/>
    <w:rsid w:val="003D1668"/>
    <w:rsid w:val="003D3A59"/>
    <w:rsid w:val="003E06CB"/>
    <w:rsid w:val="00405FF8"/>
    <w:rsid w:val="00414628"/>
    <w:rsid w:val="00415662"/>
    <w:rsid w:val="0042343E"/>
    <w:rsid w:val="00427702"/>
    <w:rsid w:val="00427D62"/>
    <w:rsid w:val="00433FC9"/>
    <w:rsid w:val="00436744"/>
    <w:rsid w:val="00476718"/>
    <w:rsid w:val="00482D2F"/>
    <w:rsid w:val="00491ED7"/>
    <w:rsid w:val="00493207"/>
    <w:rsid w:val="004A085F"/>
    <w:rsid w:val="004A1603"/>
    <w:rsid w:val="004A1807"/>
    <w:rsid w:val="004A7B66"/>
    <w:rsid w:val="004B1027"/>
    <w:rsid w:val="004B1C80"/>
    <w:rsid w:val="004C7F88"/>
    <w:rsid w:val="004D52B8"/>
    <w:rsid w:val="004E048E"/>
    <w:rsid w:val="004E6B4B"/>
    <w:rsid w:val="004E6B5D"/>
    <w:rsid w:val="004F53C5"/>
    <w:rsid w:val="0050576E"/>
    <w:rsid w:val="005079A2"/>
    <w:rsid w:val="0051764C"/>
    <w:rsid w:val="00524FA6"/>
    <w:rsid w:val="00542702"/>
    <w:rsid w:val="00543394"/>
    <w:rsid w:val="005463AC"/>
    <w:rsid w:val="00564538"/>
    <w:rsid w:val="00590507"/>
    <w:rsid w:val="00597AD0"/>
    <w:rsid w:val="005A6A73"/>
    <w:rsid w:val="005B0512"/>
    <w:rsid w:val="005B4EDD"/>
    <w:rsid w:val="005F532A"/>
    <w:rsid w:val="005F67D8"/>
    <w:rsid w:val="006000AD"/>
    <w:rsid w:val="00606E9D"/>
    <w:rsid w:val="0062737F"/>
    <w:rsid w:val="006273B4"/>
    <w:rsid w:val="00637273"/>
    <w:rsid w:val="006408E1"/>
    <w:rsid w:val="00647A96"/>
    <w:rsid w:val="006500EB"/>
    <w:rsid w:val="0066106D"/>
    <w:rsid w:val="00661843"/>
    <w:rsid w:val="006676FC"/>
    <w:rsid w:val="00667ACB"/>
    <w:rsid w:val="00682974"/>
    <w:rsid w:val="00684A61"/>
    <w:rsid w:val="006854DA"/>
    <w:rsid w:val="0068601B"/>
    <w:rsid w:val="00690A33"/>
    <w:rsid w:val="006B49A3"/>
    <w:rsid w:val="006D6476"/>
    <w:rsid w:val="006E0858"/>
    <w:rsid w:val="006E2344"/>
    <w:rsid w:val="006E321D"/>
    <w:rsid w:val="006F7266"/>
    <w:rsid w:val="0070065B"/>
    <w:rsid w:val="00703A86"/>
    <w:rsid w:val="00720C96"/>
    <w:rsid w:val="00733E1D"/>
    <w:rsid w:val="00734D76"/>
    <w:rsid w:val="00735030"/>
    <w:rsid w:val="007438F6"/>
    <w:rsid w:val="00747494"/>
    <w:rsid w:val="007548DF"/>
    <w:rsid w:val="007556BC"/>
    <w:rsid w:val="00756DFF"/>
    <w:rsid w:val="00763C7E"/>
    <w:rsid w:val="0076513C"/>
    <w:rsid w:val="00766C0B"/>
    <w:rsid w:val="00770ACC"/>
    <w:rsid w:val="007762C4"/>
    <w:rsid w:val="007764A2"/>
    <w:rsid w:val="00777C59"/>
    <w:rsid w:val="00781AB3"/>
    <w:rsid w:val="0078283C"/>
    <w:rsid w:val="00786216"/>
    <w:rsid w:val="00787C60"/>
    <w:rsid w:val="007A5690"/>
    <w:rsid w:val="007B5A49"/>
    <w:rsid w:val="007B7D13"/>
    <w:rsid w:val="007C2479"/>
    <w:rsid w:val="007C3C7B"/>
    <w:rsid w:val="007E71C8"/>
    <w:rsid w:val="007F204A"/>
    <w:rsid w:val="007F6FDE"/>
    <w:rsid w:val="00803F4C"/>
    <w:rsid w:val="00806118"/>
    <w:rsid w:val="00816CB7"/>
    <w:rsid w:val="0082537A"/>
    <w:rsid w:val="008337E9"/>
    <w:rsid w:val="00840C12"/>
    <w:rsid w:val="008464EF"/>
    <w:rsid w:val="00850E2A"/>
    <w:rsid w:val="00852CD4"/>
    <w:rsid w:val="008535D7"/>
    <w:rsid w:val="008615DA"/>
    <w:rsid w:val="00866DBC"/>
    <w:rsid w:val="00866EEC"/>
    <w:rsid w:val="00871864"/>
    <w:rsid w:val="00881275"/>
    <w:rsid w:val="008A102A"/>
    <w:rsid w:val="008D26FF"/>
    <w:rsid w:val="008F3427"/>
    <w:rsid w:val="008F71DB"/>
    <w:rsid w:val="00906920"/>
    <w:rsid w:val="00950396"/>
    <w:rsid w:val="00967830"/>
    <w:rsid w:val="00991890"/>
    <w:rsid w:val="009931BC"/>
    <w:rsid w:val="00993BA6"/>
    <w:rsid w:val="009A508D"/>
    <w:rsid w:val="009A7E36"/>
    <w:rsid w:val="009B13B0"/>
    <w:rsid w:val="009B6BD8"/>
    <w:rsid w:val="009B6FB0"/>
    <w:rsid w:val="009C5669"/>
    <w:rsid w:val="009D2A9C"/>
    <w:rsid w:val="009F0D52"/>
    <w:rsid w:val="009F410D"/>
    <w:rsid w:val="009F71B5"/>
    <w:rsid w:val="00A14939"/>
    <w:rsid w:val="00A325ED"/>
    <w:rsid w:val="00A35050"/>
    <w:rsid w:val="00A40FA0"/>
    <w:rsid w:val="00A5187B"/>
    <w:rsid w:val="00A547E3"/>
    <w:rsid w:val="00A63835"/>
    <w:rsid w:val="00A66FDC"/>
    <w:rsid w:val="00A67DE7"/>
    <w:rsid w:val="00A83334"/>
    <w:rsid w:val="00AA0127"/>
    <w:rsid w:val="00AB5ED1"/>
    <w:rsid w:val="00AC6ED9"/>
    <w:rsid w:val="00AC7113"/>
    <w:rsid w:val="00B0379E"/>
    <w:rsid w:val="00B114B0"/>
    <w:rsid w:val="00B22F69"/>
    <w:rsid w:val="00B24AC4"/>
    <w:rsid w:val="00B66639"/>
    <w:rsid w:val="00B70769"/>
    <w:rsid w:val="00B92729"/>
    <w:rsid w:val="00BA15CD"/>
    <w:rsid w:val="00BC40D2"/>
    <w:rsid w:val="00BC5FCC"/>
    <w:rsid w:val="00BC7E64"/>
    <w:rsid w:val="00BD28FC"/>
    <w:rsid w:val="00BD5583"/>
    <w:rsid w:val="00BD7262"/>
    <w:rsid w:val="00BE4C38"/>
    <w:rsid w:val="00C03DB5"/>
    <w:rsid w:val="00C114E5"/>
    <w:rsid w:val="00C16B82"/>
    <w:rsid w:val="00C21514"/>
    <w:rsid w:val="00C24743"/>
    <w:rsid w:val="00C318D9"/>
    <w:rsid w:val="00C36A33"/>
    <w:rsid w:val="00C444CB"/>
    <w:rsid w:val="00C647EB"/>
    <w:rsid w:val="00C7098A"/>
    <w:rsid w:val="00C804D6"/>
    <w:rsid w:val="00CA3D61"/>
    <w:rsid w:val="00CB4BF6"/>
    <w:rsid w:val="00CE3902"/>
    <w:rsid w:val="00D05B05"/>
    <w:rsid w:val="00D178BD"/>
    <w:rsid w:val="00D20919"/>
    <w:rsid w:val="00D22AFC"/>
    <w:rsid w:val="00D237B7"/>
    <w:rsid w:val="00D25E8E"/>
    <w:rsid w:val="00D30BE4"/>
    <w:rsid w:val="00D522E7"/>
    <w:rsid w:val="00D61F64"/>
    <w:rsid w:val="00D628A8"/>
    <w:rsid w:val="00D67CD6"/>
    <w:rsid w:val="00D70CFC"/>
    <w:rsid w:val="00DA6503"/>
    <w:rsid w:val="00DB4FF6"/>
    <w:rsid w:val="00DC077B"/>
    <w:rsid w:val="00DC332E"/>
    <w:rsid w:val="00DC6ED6"/>
    <w:rsid w:val="00DD061D"/>
    <w:rsid w:val="00DD208B"/>
    <w:rsid w:val="00DD5302"/>
    <w:rsid w:val="00DE6FC3"/>
    <w:rsid w:val="00DE7B8E"/>
    <w:rsid w:val="00DF1943"/>
    <w:rsid w:val="00DF2D2F"/>
    <w:rsid w:val="00DF62B7"/>
    <w:rsid w:val="00DF7634"/>
    <w:rsid w:val="00E0105B"/>
    <w:rsid w:val="00E03F28"/>
    <w:rsid w:val="00E14A20"/>
    <w:rsid w:val="00E24433"/>
    <w:rsid w:val="00E3175F"/>
    <w:rsid w:val="00E320BA"/>
    <w:rsid w:val="00E36C9A"/>
    <w:rsid w:val="00E4401B"/>
    <w:rsid w:val="00E47794"/>
    <w:rsid w:val="00E5005E"/>
    <w:rsid w:val="00E541F1"/>
    <w:rsid w:val="00E55AC4"/>
    <w:rsid w:val="00E61712"/>
    <w:rsid w:val="00E6228B"/>
    <w:rsid w:val="00E623DE"/>
    <w:rsid w:val="00E63E81"/>
    <w:rsid w:val="00E65543"/>
    <w:rsid w:val="00E65C04"/>
    <w:rsid w:val="00E748FF"/>
    <w:rsid w:val="00E77776"/>
    <w:rsid w:val="00E86FB6"/>
    <w:rsid w:val="00E92469"/>
    <w:rsid w:val="00E93C77"/>
    <w:rsid w:val="00EB1A86"/>
    <w:rsid w:val="00EB3C10"/>
    <w:rsid w:val="00EC196A"/>
    <w:rsid w:val="00EC7F64"/>
    <w:rsid w:val="00EE17AC"/>
    <w:rsid w:val="00EF3ABA"/>
    <w:rsid w:val="00F059C8"/>
    <w:rsid w:val="00F13FD4"/>
    <w:rsid w:val="00F21C14"/>
    <w:rsid w:val="00F24BA5"/>
    <w:rsid w:val="00F27B02"/>
    <w:rsid w:val="00F350F7"/>
    <w:rsid w:val="00F44248"/>
    <w:rsid w:val="00F53281"/>
    <w:rsid w:val="00F67EDE"/>
    <w:rsid w:val="00F71DE2"/>
    <w:rsid w:val="00F83D96"/>
    <w:rsid w:val="00F916CC"/>
    <w:rsid w:val="00F93444"/>
    <w:rsid w:val="00F9356F"/>
    <w:rsid w:val="00FA66EB"/>
    <w:rsid w:val="00FA7B4F"/>
    <w:rsid w:val="00FB2080"/>
    <w:rsid w:val="00FC34DD"/>
    <w:rsid w:val="00FF2048"/>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E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34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427"/>
    <w:rPr>
      <w:rFonts w:ascii="Tahoma" w:hAnsi="Tahoma" w:cs="Tahoma"/>
      <w:sz w:val="16"/>
      <w:szCs w:val="16"/>
    </w:rPr>
  </w:style>
  <w:style w:type="character" w:customStyle="1" w:styleId="gwtext-compositecellchild">
    <w:name w:val="gwtext-compositecellchild"/>
    <w:basedOn w:val="DefaultParagraphFont"/>
    <w:rsid w:val="00F059C8"/>
  </w:style>
  <w:style w:type="paragraph" w:styleId="ListParagraph">
    <w:name w:val="List Paragraph"/>
    <w:basedOn w:val="Normal"/>
    <w:uiPriority w:val="34"/>
    <w:qFormat/>
    <w:rsid w:val="007548DF"/>
    <w:pPr>
      <w:ind w:left="720"/>
      <w:contextualSpacing/>
    </w:pPr>
  </w:style>
  <w:style w:type="character" w:styleId="CommentReference">
    <w:name w:val="annotation reference"/>
    <w:basedOn w:val="DefaultParagraphFont"/>
    <w:uiPriority w:val="99"/>
    <w:semiHidden/>
    <w:unhideWhenUsed/>
    <w:rsid w:val="00AC6ED9"/>
    <w:rPr>
      <w:sz w:val="16"/>
      <w:szCs w:val="16"/>
    </w:rPr>
  </w:style>
  <w:style w:type="paragraph" w:styleId="CommentText">
    <w:name w:val="annotation text"/>
    <w:basedOn w:val="Normal"/>
    <w:link w:val="CommentTextChar"/>
    <w:uiPriority w:val="99"/>
    <w:semiHidden/>
    <w:unhideWhenUsed/>
    <w:rsid w:val="00AC6ED9"/>
    <w:pPr>
      <w:spacing w:line="240" w:lineRule="auto"/>
    </w:pPr>
    <w:rPr>
      <w:sz w:val="20"/>
      <w:szCs w:val="20"/>
    </w:rPr>
  </w:style>
  <w:style w:type="character" w:customStyle="1" w:styleId="CommentTextChar">
    <w:name w:val="Comment Text Char"/>
    <w:basedOn w:val="DefaultParagraphFont"/>
    <w:link w:val="CommentText"/>
    <w:uiPriority w:val="99"/>
    <w:semiHidden/>
    <w:rsid w:val="00AC6ED9"/>
    <w:rPr>
      <w:sz w:val="20"/>
      <w:szCs w:val="20"/>
    </w:rPr>
  </w:style>
  <w:style w:type="paragraph" w:styleId="CommentSubject">
    <w:name w:val="annotation subject"/>
    <w:basedOn w:val="CommentText"/>
    <w:next w:val="CommentText"/>
    <w:link w:val="CommentSubjectChar"/>
    <w:uiPriority w:val="99"/>
    <w:semiHidden/>
    <w:unhideWhenUsed/>
    <w:rsid w:val="00AC6ED9"/>
    <w:rPr>
      <w:b/>
      <w:bCs/>
    </w:rPr>
  </w:style>
  <w:style w:type="character" w:customStyle="1" w:styleId="CommentSubjectChar">
    <w:name w:val="Comment Subject Char"/>
    <w:basedOn w:val="CommentTextChar"/>
    <w:link w:val="CommentSubject"/>
    <w:uiPriority w:val="99"/>
    <w:semiHidden/>
    <w:rsid w:val="00AC6ED9"/>
    <w:rPr>
      <w:b/>
      <w:bCs/>
      <w:sz w:val="20"/>
      <w:szCs w:val="20"/>
    </w:rPr>
  </w:style>
  <w:style w:type="paragraph" w:styleId="Revision">
    <w:name w:val="Revision"/>
    <w:hidden/>
    <w:uiPriority w:val="99"/>
    <w:semiHidden/>
    <w:rsid w:val="00AC6ED9"/>
    <w:pPr>
      <w:spacing w:after="0" w:line="240" w:lineRule="auto"/>
    </w:pPr>
  </w:style>
  <w:style w:type="paragraph" w:customStyle="1" w:styleId="Default">
    <w:name w:val="Default"/>
    <w:rsid w:val="00E0105B"/>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B22F69"/>
    <w:rPr>
      <w:color w:val="0000FF"/>
      <w:u w:val="single"/>
    </w:rPr>
  </w:style>
</w:styles>
</file>

<file path=word/webSettings.xml><?xml version="1.0" encoding="utf-8"?>
<w:webSettings xmlns:r="http://schemas.openxmlformats.org/officeDocument/2006/relationships" xmlns:w="http://schemas.openxmlformats.org/wordprocessingml/2006/main">
  <w:divs>
    <w:div w:id="14700799">
      <w:bodyDiv w:val="1"/>
      <w:marLeft w:val="0"/>
      <w:marRight w:val="0"/>
      <w:marTop w:val="0"/>
      <w:marBottom w:val="0"/>
      <w:divBdr>
        <w:top w:val="none" w:sz="0" w:space="0" w:color="auto"/>
        <w:left w:val="none" w:sz="0" w:space="0" w:color="auto"/>
        <w:bottom w:val="none" w:sz="0" w:space="0" w:color="auto"/>
        <w:right w:val="none" w:sz="0" w:space="0" w:color="auto"/>
      </w:divBdr>
    </w:div>
    <w:div w:id="71392832">
      <w:bodyDiv w:val="1"/>
      <w:marLeft w:val="0"/>
      <w:marRight w:val="0"/>
      <w:marTop w:val="0"/>
      <w:marBottom w:val="0"/>
      <w:divBdr>
        <w:top w:val="none" w:sz="0" w:space="0" w:color="auto"/>
        <w:left w:val="none" w:sz="0" w:space="0" w:color="auto"/>
        <w:bottom w:val="none" w:sz="0" w:space="0" w:color="auto"/>
        <w:right w:val="none" w:sz="0" w:space="0" w:color="auto"/>
      </w:divBdr>
    </w:div>
    <w:div w:id="92871584">
      <w:bodyDiv w:val="1"/>
      <w:marLeft w:val="0"/>
      <w:marRight w:val="0"/>
      <w:marTop w:val="0"/>
      <w:marBottom w:val="0"/>
      <w:divBdr>
        <w:top w:val="none" w:sz="0" w:space="0" w:color="auto"/>
        <w:left w:val="none" w:sz="0" w:space="0" w:color="auto"/>
        <w:bottom w:val="none" w:sz="0" w:space="0" w:color="auto"/>
        <w:right w:val="none" w:sz="0" w:space="0" w:color="auto"/>
      </w:divBdr>
    </w:div>
    <w:div w:id="237332072">
      <w:bodyDiv w:val="1"/>
      <w:marLeft w:val="0"/>
      <w:marRight w:val="0"/>
      <w:marTop w:val="0"/>
      <w:marBottom w:val="0"/>
      <w:divBdr>
        <w:top w:val="none" w:sz="0" w:space="0" w:color="auto"/>
        <w:left w:val="none" w:sz="0" w:space="0" w:color="auto"/>
        <w:bottom w:val="none" w:sz="0" w:space="0" w:color="auto"/>
        <w:right w:val="none" w:sz="0" w:space="0" w:color="auto"/>
      </w:divBdr>
    </w:div>
    <w:div w:id="253829338">
      <w:bodyDiv w:val="1"/>
      <w:marLeft w:val="0"/>
      <w:marRight w:val="0"/>
      <w:marTop w:val="0"/>
      <w:marBottom w:val="0"/>
      <w:divBdr>
        <w:top w:val="none" w:sz="0" w:space="0" w:color="auto"/>
        <w:left w:val="none" w:sz="0" w:space="0" w:color="auto"/>
        <w:bottom w:val="none" w:sz="0" w:space="0" w:color="auto"/>
        <w:right w:val="none" w:sz="0" w:space="0" w:color="auto"/>
      </w:divBdr>
    </w:div>
    <w:div w:id="482039213">
      <w:bodyDiv w:val="1"/>
      <w:marLeft w:val="0"/>
      <w:marRight w:val="0"/>
      <w:marTop w:val="0"/>
      <w:marBottom w:val="0"/>
      <w:divBdr>
        <w:top w:val="none" w:sz="0" w:space="0" w:color="auto"/>
        <w:left w:val="none" w:sz="0" w:space="0" w:color="auto"/>
        <w:bottom w:val="none" w:sz="0" w:space="0" w:color="auto"/>
        <w:right w:val="none" w:sz="0" w:space="0" w:color="auto"/>
      </w:divBdr>
    </w:div>
    <w:div w:id="505096107">
      <w:bodyDiv w:val="1"/>
      <w:marLeft w:val="0"/>
      <w:marRight w:val="0"/>
      <w:marTop w:val="0"/>
      <w:marBottom w:val="0"/>
      <w:divBdr>
        <w:top w:val="none" w:sz="0" w:space="0" w:color="auto"/>
        <w:left w:val="none" w:sz="0" w:space="0" w:color="auto"/>
        <w:bottom w:val="none" w:sz="0" w:space="0" w:color="auto"/>
        <w:right w:val="none" w:sz="0" w:space="0" w:color="auto"/>
      </w:divBdr>
    </w:div>
    <w:div w:id="680857291">
      <w:bodyDiv w:val="1"/>
      <w:marLeft w:val="0"/>
      <w:marRight w:val="0"/>
      <w:marTop w:val="0"/>
      <w:marBottom w:val="0"/>
      <w:divBdr>
        <w:top w:val="none" w:sz="0" w:space="0" w:color="auto"/>
        <w:left w:val="none" w:sz="0" w:space="0" w:color="auto"/>
        <w:bottom w:val="none" w:sz="0" w:space="0" w:color="auto"/>
        <w:right w:val="none" w:sz="0" w:space="0" w:color="auto"/>
      </w:divBdr>
    </w:div>
    <w:div w:id="993025464">
      <w:bodyDiv w:val="1"/>
      <w:marLeft w:val="0"/>
      <w:marRight w:val="0"/>
      <w:marTop w:val="0"/>
      <w:marBottom w:val="0"/>
      <w:divBdr>
        <w:top w:val="none" w:sz="0" w:space="0" w:color="auto"/>
        <w:left w:val="none" w:sz="0" w:space="0" w:color="auto"/>
        <w:bottom w:val="none" w:sz="0" w:space="0" w:color="auto"/>
        <w:right w:val="none" w:sz="0" w:space="0" w:color="auto"/>
      </w:divBdr>
    </w:div>
    <w:div w:id="1078481685">
      <w:bodyDiv w:val="1"/>
      <w:marLeft w:val="0"/>
      <w:marRight w:val="0"/>
      <w:marTop w:val="0"/>
      <w:marBottom w:val="0"/>
      <w:divBdr>
        <w:top w:val="none" w:sz="0" w:space="0" w:color="auto"/>
        <w:left w:val="none" w:sz="0" w:space="0" w:color="auto"/>
        <w:bottom w:val="none" w:sz="0" w:space="0" w:color="auto"/>
        <w:right w:val="none" w:sz="0" w:space="0" w:color="auto"/>
      </w:divBdr>
    </w:div>
    <w:div w:id="1143890860">
      <w:bodyDiv w:val="1"/>
      <w:marLeft w:val="0"/>
      <w:marRight w:val="0"/>
      <w:marTop w:val="0"/>
      <w:marBottom w:val="0"/>
      <w:divBdr>
        <w:top w:val="none" w:sz="0" w:space="0" w:color="auto"/>
        <w:left w:val="none" w:sz="0" w:space="0" w:color="auto"/>
        <w:bottom w:val="none" w:sz="0" w:space="0" w:color="auto"/>
        <w:right w:val="none" w:sz="0" w:space="0" w:color="auto"/>
      </w:divBdr>
    </w:div>
    <w:div w:id="1169831904">
      <w:bodyDiv w:val="1"/>
      <w:marLeft w:val="0"/>
      <w:marRight w:val="0"/>
      <w:marTop w:val="0"/>
      <w:marBottom w:val="0"/>
      <w:divBdr>
        <w:top w:val="none" w:sz="0" w:space="0" w:color="auto"/>
        <w:left w:val="none" w:sz="0" w:space="0" w:color="auto"/>
        <w:bottom w:val="none" w:sz="0" w:space="0" w:color="auto"/>
        <w:right w:val="none" w:sz="0" w:space="0" w:color="auto"/>
      </w:divBdr>
    </w:div>
    <w:div w:id="1467235496">
      <w:bodyDiv w:val="1"/>
      <w:marLeft w:val="0"/>
      <w:marRight w:val="0"/>
      <w:marTop w:val="0"/>
      <w:marBottom w:val="0"/>
      <w:divBdr>
        <w:top w:val="none" w:sz="0" w:space="0" w:color="auto"/>
        <w:left w:val="none" w:sz="0" w:space="0" w:color="auto"/>
        <w:bottom w:val="none" w:sz="0" w:space="0" w:color="auto"/>
        <w:right w:val="none" w:sz="0" w:space="0" w:color="auto"/>
      </w:divBdr>
    </w:div>
    <w:div w:id="1476604209">
      <w:bodyDiv w:val="1"/>
      <w:marLeft w:val="0"/>
      <w:marRight w:val="0"/>
      <w:marTop w:val="0"/>
      <w:marBottom w:val="0"/>
      <w:divBdr>
        <w:top w:val="none" w:sz="0" w:space="0" w:color="auto"/>
        <w:left w:val="none" w:sz="0" w:space="0" w:color="auto"/>
        <w:bottom w:val="none" w:sz="0" w:space="0" w:color="auto"/>
        <w:right w:val="none" w:sz="0" w:space="0" w:color="auto"/>
      </w:divBdr>
    </w:div>
    <w:div w:id="1670405086">
      <w:bodyDiv w:val="1"/>
      <w:marLeft w:val="0"/>
      <w:marRight w:val="0"/>
      <w:marTop w:val="0"/>
      <w:marBottom w:val="0"/>
      <w:divBdr>
        <w:top w:val="none" w:sz="0" w:space="0" w:color="auto"/>
        <w:left w:val="none" w:sz="0" w:space="0" w:color="auto"/>
        <w:bottom w:val="none" w:sz="0" w:space="0" w:color="auto"/>
        <w:right w:val="none" w:sz="0" w:space="0" w:color="auto"/>
      </w:divBdr>
    </w:div>
    <w:div w:id="1960067576">
      <w:bodyDiv w:val="1"/>
      <w:marLeft w:val="0"/>
      <w:marRight w:val="0"/>
      <w:marTop w:val="0"/>
      <w:marBottom w:val="0"/>
      <w:divBdr>
        <w:top w:val="none" w:sz="0" w:space="0" w:color="auto"/>
        <w:left w:val="none" w:sz="0" w:space="0" w:color="auto"/>
        <w:bottom w:val="none" w:sz="0" w:space="0" w:color="auto"/>
        <w:right w:val="none" w:sz="0" w:space="0" w:color="auto"/>
      </w:divBdr>
    </w:div>
    <w:div w:id="1969971358">
      <w:bodyDiv w:val="1"/>
      <w:marLeft w:val="0"/>
      <w:marRight w:val="0"/>
      <w:marTop w:val="0"/>
      <w:marBottom w:val="0"/>
      <w:divBdr>
        <w:top w:val="none" w:sz="0" w:space="0" w:color="auto"/>
        <w:left w:val="none" w:sz="0" w:space="0" w:color="auto"/>
        <w:bottom w:val="none" w:sz="0" w:space="0" w:color="auto"/>
        <w:right w:val="none" w:sz="0" w:space="0" w:color="auto"/>
      </w:divBdr>
    </w:div>
    <w:div w:id="213524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26"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chart" Target="charts/chart2.xml"/><Relationship Id="rId12" Type="http://schemas.openxmlformats.org/officeDocument/2006/relationships/theme" Target="theme/theme1.xml"/><Relationship Id="rId25"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chart" Target="charts/chart4.xml"/><Relationship Id="rId27" Type="http://schemas.microsoft.com/office/2011/relationships/people" Target="people.xml"/></Relationships>
</file>

<file path=word/charts/_rels/chart1.xml.rels><?xml version="1.0" encoding="UTF-8" standalone="yes"?>
<Relationships xmlns="http://schemas.openxmlformats.org/package/2006/relationships"><Relationship Id="rId1" Type="http://schemas.openxmlformats.org/officeDocument/2006/relationships/oleObject" Target="file:///\\filesrv.vi.local\dati\SVD\Produktu%20drosuma%20un%20tirgus%20uzraudzibas%20nodala\Tematiskas_kontroles\Pilns_plaukts\2019\KL_Pilns_plaukts_2019.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ilesrv.vi.local\dati\SVD\Produktu%20drosuma%20un%20tirgus%20uzraudzibas%20nodala\Tematiskas_kontroles\Pilns_plaukts\2019\KL_Pilns_plaukts_2019.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ilesrv.vi.local\dati\SVD\Produktu%20drosuma%20un%20tirgus%20uzraudzibas%20nodala\Tematiskas_kontroles\Pilns_plaukts\2019\KL_Pilns_plaukts_2019.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ilesrv.vi.local\dati\SVD\Produktu%20drosuma%20un%20tirgus%20uzraudzibas%20nodala\Tematiskas_kontroles\Pilns_plaukts\2019\KL_Pilns_plaukts_2019.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ilesrv.vi.local\dati\SVD\Produktu%20drosuma%20un%20tirgus%20uzraudzibas%20nodala\020_uzraudziba\Tematiskas_kontroles\Pilns_plaukts_2019\2019\KL_Pilns_plaukts_2019.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8"/>
  <c:chart>
    <c:plotArea>
      <c:layout/>
      <c:barChart>
        <c:barDir val="col"/>
        <c:grouping val="clustered"/>
        <c:ser>
          <c:idx val="0"/>
          <c:order val="0"/>
          <c:spPr>
            <a:ln>
              <a:solidFill>
                <a:prstClr val="black"/>
              </a:solidFill>
            </a:ln>
          </c:spPr>
          <c:dPt>
            <c:idx val="0"/>
            <c:spPr>
              <a:solidFill>
                <a:srgbClr val="FF9933"/>
              </a:solidFill>
              <a:ln>
                <a:solidFill>
                  <a:prstClr val="black"/>
                </a:solidFill>
              </a:ln>
            </c:spPr>
            <c:extLst xmlns:c16r2="http://schemas.microsoft.com/office/drawing/2015/06/chart">
              <c:ext xmlns:c16="http://schemas.microsoft.com/office/drawing/2014/chart" uri="{C3380CC4-5D6E-409C-BE32-E72D297353CC}">
                <c16:uniqueId val="{00000000-5262-451B-BCF7-F04E273AD09E}"/>
              </c:ext>
            </c:extLst>
          </c:dPt>
          <c:dPt>
            <c:idx val="1"/>
            <c:spPr>
              <a:solidFill>
                <a:srgbClr val="FF9933"/>
              </a:solidFill>
              <a:ln>
                <a:solidFill>
                  <a:prstClr val="black"/>
                </a:solidFill>
              </a:ln>
            </c:spPr>
            <c:extLst xmlns:c16r2="http://schemas.microsoft.com/office/drawing/2015/06/chart">
              <c:ext xmlns:c16="http://schemas.microsoft.com/office/drawing/2014/chart" uri="{C3380CC4-5D6E-409C-BE32-E72D297353CC}">
                <c16:uniqueId val="{00000001-5262-451B-BCF7-F04E273AD09E}"/>
              </c:ext>
            </c:extLst>
          </c:dPt>
          <c:dPt>
            <c:idx val="11"/>
            <c:spPr>
              <a:solidFill>
                <a:srgbClr val="C00000"/>
              </a:solidFill>
              <a:ln>
                <a:solidFill>
                  <a:prstClr val="black"/>
                </a:solidFill>
              </a:ln>
            </c:spPr>
            <c:extLst xmlns:c16r2="http://schemas.microsoft.com/office/drawing/2015/06/chart">
              <c:ext xmlns:c16="http://schemas.microsoft.com/office/drawing/2014/chart" uri="{C3380CC4-5D6E-409C-BE32-E72D297353CC}">
                <c16:uniqueId val="{00000002-5262-451B-BCF7-F04E273AD09E}"/>
              </c:ext>
            </c:extLst>
          </c:dPt>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grafiki!$B$3:$B$25</c:f>
              <c:strCache>
                <c:ptCount val="23"/>
                <c:pt idx="0">
                  <c:v>Krievija</c:v>
                </c:pt>
                <c:pt idx="1">
                  <c:v>Vācija</c:v>
                </c:pt>
                <c:pt idx="2">
                  <c:v>Polija</c:v>
                </c:pt>
                <c:pt idx="3">
                  <c:v>Lielbritānija</c:v>
                </c:pt>
                <c:pt idx="4">
                  <c:v>Itālija</c:v>
                </c:pt>
                <c:pt idx="5">
                  <c:v>Baltkrievija</c:v>
                </c:pt>
                <c:pt idx="6">
                  <c:v>Francija</c:v>
                </c:pt>
                <c:pt idx="7">
                  <c:v>Ķīna</c:v>
                </c:pt>
                <c:pt idx="8">
                  <c:v>ASV</c:v>
                </c:pt>
                <c:pt idx="9">
                  <c:v>Dienvidkoreja</c:v>
                </c:pt>
                <c:pt idx="10">
                  <c:v>Indija</c:v>
                </c:pt>
                <c:pt idx="11">
                  <c:v>Latvija</c:v>
                </c:pt>
                <c:pt idx="12">
                  <c:v>Bulgārija</c:v>
                </c:pt>
                <c:pt idx="13">
                  <c:v>Lietuva</c:v>
                </c:pt>
                <c:pt idx="14">
                  <c:v>Spānija</c:v>
                </c:pt>
                <c:pt idx="15">
                  <c:v>AAE</c:v>
                </c:pt>
                <c:pt idx="16">
                  <c:v>Dānija</c:v>
                </c:pt>
                <c:pt idx="17">
                  <c:v>Šveice</c:v>
                </c:pt>
                <c:pt idx="18">
                  <c:v>Meksika</c:v>
                </c:pt>
                <c:pt idx="19">
                  <c:v>Norvēģija</c:v>
                </c:pt>
                <c:pt idx="20">
                  <c:v>Beļģija</c:v>
                </c:pt>
                <c:pt idx="21">
                  <c:v>Ēģipte</c:v>
                </c:pt>
                <c:pt idx="22">
                  <c:v>Nīderlande</c:v>
                </c:pt>
              </c:strCache>
            </c:strRef>
          </c:cat>
          <c:val>
            <c:numRef>
              <c:f>grafiki!$C$3:$C$25</c:f>
              <c:numCache>
                <c:formatCode>General</c:formatCode>
                <c:ptCount val="23"/>
                <c:pt idx="0">
                  <c:v>99</c:v>
                </c:pt>
                <c:pt idx="1">
                  <c:v>81</c:v>
                </c:pt>
                <c:pt idx="2">
                  <c:v>60</c:v>
                </c:pt>
                <c:pt idx="3">
                  <c:v>42</c:v>
                </c:pt>
                <c:pt idx="4">
                  <c:v>30</c:v>
                </c:pt>
                <c:pt idx="5">
                  <c:v>19</c:v>
                </c:pt>
                <c:pt idx="6">
                  <c:v>16</c:v>
                </c:pt>
                <c:pt idx="7">
                  <c:v>11</c:v>
                </c:pt>
                <c:pt idx="8">
                  <c:v>8</c:v>
                </c:pt>
                <c:pt idx="9">
                  <c:v>5</c:v>
                </c:pt>
                <c:pt idx="10">
                  <c:v>5</c:v>
                </c:pt>
                <c:pt idx="11">
                  <c:v>4</c:v>
                </c:pt>
                <c:pt idx="12">
                  <c:v>4</c:v>
                </c:pt>
                <c:pt idx="13">
                  <c:v>4</c:v>
                </c:pt>
                <c:pt idx="14">
                  <c:v>4</c:v>
                </c:pt>
                <c:pt idx="15">
                  <c:v>3</c:v>
                </c:pt>
                <c:pt idx="16">
                  <c:v>3</c:v>
                </c:pt>
                <c:pt idx="17">
                  <c:v>3</c:v>
                </c:pt>
                <c:pt idx="18">
                  <c:v>2</c:v>
                </c:pt>
                <c:pt idx="19">
                  <c:v>2</c:v>
                </c:pt>
                <c:pt idx="20">
                  <c:v>1</c:v>
                </c:pt>
                <c:pt idx="21">
                  <c:v>1</c:v>
                </c:pt>
                <c:pt idx="22">
                  <c:v>1</c:v>
                </c:pt>
              </c:numCache>
            </c:numRef>
          </c:val>
          <c:extLst xmlns:c16r2="http://schemas.microsoft.com/office/drawing/2015/06/chart">
            <c:ext xmlns:c16="http://schemas.microsoft.com/office/drawing/2014/chart" uri="{C3380CC4-5D6E-409C-BE32-E72D297353CC}">
              <c16:uniqueId val="{00000003-5262-451B-BCF7-F04E273AD09E}"/>
            </c:ext>
          </c:extLst>
        </c:ser>
        <c:axId val="126567936"/>
        <c:axId val="129287296"/>
      </c:barChart>
      <c:catAx>
        <c:axId val="126567936"/>
        <c:scaling>
          <c:orientation val="minMax"/>
        </c:scaling>
        <c:axPos val="b"/>
        <c:numFmt formatCode="General" sourceLinked="1"/>
        <c:tickLblPos val="nextTo"/>
        <c:crossAx val="129287296"/>
        <c:crosses val="autoZero"/>
        <c:auto val="1"/>
        <c:lblAlgn val="ctr"/>
        <c:lblOffset val="100"/>
      </c:catAx>
      <c:valAx>
        <c:axId val="129287296"/>
        <c:scaling>
          <c:orientation val="minMax"/>
        </c:scaling>
        <c:axPos val="l"/>
        <c:majorGridlines/>
        <c:numFmt formatCode="General" sourceLinked="1"/>
        <c:tickLblPos val="nextTo"/>
        <c:crossAx val="126567936"/>
        <c:crosses val="autoZero"/>
        <c:crossBetween val="between"/>
      </c:valAx>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8"/>
  <c:chart>
    <c:plotArea>
      <c:layout>
        <c:manualLayout>
          <c:layoutTarget val="inner"/>
          <c:xMode val="edge"/>
          <c:yMode val="edge"/>
          <c:x val="0.10593285214348212"/>
          <c:y val="5.1400554097404488E-2"/>
          <c:w val="0.6180962379702537"/>
          <c:h val="0.7196103091280257"/>
        </c:manualLayout>
      </c:layout>
      <c:barChart>
        <c:barDir val="col"/>
        <c:grouping val="percentStacked"/>
        <c:ser>
          <c:idx val="0"/>
          <c:order val="0"/>
          <c:tx>
            <c:strRef>
              <c:f>grafiki!$C$79</c:f>
              <c:strCache>
                <c:ptCount val="1"/>
                <c:pt idx="0">
                  <c:v>Atbilstošs marķējums</c:v>
                </c:pt>
              </c:strCache>
            </c:strRef>
          </c:tx>
          <c:spPr>
            <a:solidFill>
              <a:srgbClr val="FF9933"/>
            </a:solidFill>
          </c:spPr>
          <c:dLbls>
            <c:showVal val="1"/>
          </c:dLbls>
          <c:cat>
            <c:strRef>
              <c:f>grafiki!$B$80:$B$82</c:f>
              <c:strCache>
                <c:ptCount val="3"/>
                <c:pt idx="0">
                  <c:v>Ražotas Latvijā;
4</c:v>
                </c:pt>
                <c:pt idx="1">
                  <c:v>Importētas Latvijā;
112</c:v>
                </c:pt>
                <c:pt idx="2">
                  <c:v>Izplatītas Latvijā;
292</c:v>
                </c:pt>
              </c:strCache>
            </c:strRef>
          </c:cat>
          <c:val>
            <c:numRef>
              <c:f>grafiki!$C$80:$C$82</c:f>
              <c:numCache>
                <c:formatCode>0%</c:formatCode>
                <c:ptCount val="3"/>
                <c:pt idx="0">
                  <c:v>0.5</c:v>
                </c:pt>
                <c:pt idx="1">
                  <c:v>0.750000000000001</c:v>
                </c:pt>
                <c:pt idx="2">
                  <c:v>0.83000000000000063</c:v>
                </c:pt>
              </c:numCache>
            </c:numRef>
          </c:val>
        </c:ser>
        <c:ser>
          <c:idx val="1"/>
          <c:order val="1"/>
          <c:tx>
            <c:strRef>
              <c:f>grafiki!$D$79</c:f>
              <c:strCache>
                <c:ptCount val="1"/>
                <c:pt idx="0">
                  <c:v>Neatbilstošs marķējums</c:v>
                </c:pt>
              </c:strCache>
            </c:strRef>
          </c:tx>
          <c:spPr>
            <a:solidFill>
              <a:schemeClr val="accent6">
                <a:lumMod val="40000"/>
                <a:lumOff val="60000"/>
              </a:schemeClr>
            </a:solidFill>
          </c:spPr>
          <c:dLbls>
            <c:showVal val="1"/>
          </c:dLbls>
          <c:cat>
            <c:strRef>
              <c:f>grafiki!$B$80:$B$82</c:f>
              <c:strCache>
                <c:ptCount val="3"/>
                <c:pt idx="0">
                  <c:v>Ražotas Latvijā;
4</c:v>
                </c:pt>
                <c:pt idx="1">
                  <c:v>Importētas Latvijā;
112</c:v>
                </c:pt>
                <c:pt idx="2">
                  <c:v>Izplatītas Latvijā;
292</c:v>
                </c:pt>
              </c:strCache>
            </c:strRef>
          </c:cat>
          <c:val>
            <c:numRef>
              <c:f>grafiki!$D$80:$D$82</c:f>
              <c:numCache>
                <c:formatCode>0%</c:formatCode>
                <c:ptCount val="3"/>
                <c:pt idx="0">
                  <c:v>0.5</c:v>
                </c:pt>
                <c:pt idx="1">
                  <c:v>0.25</c:v>
                </c:pt>
                <c:pt idx="2">
                  <c:v>0.17</c:v>
                </c:pt>
              </c:numCache>
            </c:numRef>
          </c:val>
        </c:ser>
        <c:overlap val="100"/>
        <c:axId val="145859328"/>
        <c:axId val="145860864"/>
      </c:barChart>
      <c:catAx>
        <c:axId val="145859328"/>
        <c:scaling>
          <c:orientation val="minMax"/>
        </c:scaling>
        <c:axPos val="b"/>
        <c:numFmt formatCode="General" sourceLinked="1"/>
        <c:tickLblPos val="nextTo"/>
        <c:crossAx val="145860864"/>
        <c:crosses val="autoZero"/>
        <c:auto val="1"/>
        <c:lblAlgn val="ctr"/>
        <c:lblOffset val="100"/>
      </c:catAx>
      <c:valAx>
        <c:axId val="145860864"/>
        <c:scaling>
          <c:orientation val="minMax"/>
        </c:scaling>
        <c:axPos val="l"/>
        <c:majorGridlines/>
        <c:numFmt formatCode="0%" sourceLinked="1"/>
        <c:tickLblPos val="nextTo"/>
        <c:crossAx val="145859328"/>
        <c:crosses val="autoZero"/>
        <c:crossBetween val="between"/>
      </c:valAx>
    </c:plotArea>
    <c:legend>
      <c:legendPos val="r"/>
      <c:layout>
        <c:manualLayout>
          <c:xMode val="edge"/>
          <c:yMode val="edge"/>
          <c:x val="0.7601402012248486"/>
          <c:y val="0.18480132691746901"/>
          <c:w val="0.21763757655293128"/>
          <c:h val="0.40354549431321085"/>
        </c:manualLayout>
      </c:layout>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8"/>
  <c:chart>
    <c:plotArea>
      <c:layout>
        <c:manualLayout>
          <c:layoutTarget val="inner"/>
          <c:xMode val="edge"/>
          <c:yMode val="edge"/>
          <c:x val="0.10593285214348212"/>
          <c:y val="5.1400554097404488E-2"/>
          <c:w val="0.68188801399825061"/>
          <c:h val="0.77611512102653835"/>
        </c:manualLayout>
      </c:layout>
      <c:barChart>
        <c:barDir val="col"/>
        <c:grouping val="stacked"/>
        <c:ser>
          <c:idx val="0"/>
          <c:order val="0"/>
          <c:tx>
            <c:strRef>
              <c:f>grafiki!$C$57</c:f>
              <c:strCache>
                <c:ptCount val="1"/>
                <c:pt idx="0">
                  <c:v>Atbilstošs marķējums</c:v>
                </c:pt>
              </c:strCache>
            </c:strRef>
          </c:tx>
          <c:spPr>
            <a:solidFill>
              <a:srgbClr val="FF9933"/>
            </a:solidFill>
          </c:spPr>
          <c:dLbls>
            <c:showVal val="1"/>
          </c:dLbls>
          <c:cat>
            <c:strRef>
              <c:f>grafiki!$B$58:$B$60</c:f>
              <c:strCache>
                <c:ptCount val="3"/>
                <c:pt idx="0">
                  <c:v>Ražotas Latvijā;
2</c:v>
                </c:pt>
                <c:pt idx="1">
                  <c:v>Importētas Latvijā;
54</c:v>
                </c:pt>
                <c:pt idx="2">
                  <c:v>Izplatītas Latvijā;
208</c:v>
                </c:pt>
              </c:strCache>
            </c:strRef>
          </c:cat>
          <c:val>
            <c:numRef>
              <c:f>grafiki!$C$58:$C$60</c:f>
              <c:numCache>
                <c:formatCode>0%</c:formatCode>
                <c:ptCount val="3"/>
                <c:pt idx="0">
                  <c:v>0</c:v>
                </c:pt>
                <c:pt idx="1">
                  <c:v>0.56999999999999995</c:v>
                </c:pt>
                <c:pt idx="2">
                  <c:v>0.86000000000000065</c:v>
                </c:pt>
              </c:numCache>
            </c:numRef>
          </c:val>
        </c:ser>
        <c:ser>
          <c:idx val="1"/>
          <c:order val="1"/>
          <c:tx>
            <c:strRef>
              <c:f>grafiki!$D$57</c:f>
              <c:strCache>
                <c:ptCount val="1"/>
                <c:pt idx="0">
                  <c:v>Neatbilstošs marķējums</c:v>
                </c:pt>
              </c:strCache>
            </c:strRef>
          </c:tx>
          <c:spPr>
            <a:solidFill>
              <a:schemeClr val="accent6">
                <a:lumMod val="40000"/>
                <a:lumOff val="60000"/>
              </a:schemeClr>
            </a:solidFill>
          </c:spPr>
          <c:dLbls>
            <c:showVal val="1"/>
          </c:dLbls>
          <c:cat>
            <c:strRef>
              <c:f>grafiki!$B$58:$B$60</c:f>
              <c:strCache>
                <c:ptCount val="3"/>
                <c:pt idx="0">
                  <c:v>Ražotas Latvijā;
2</c:v>
                </c:pt>
                <c:pt idx="1">
                  <c:v>Importētas Latvijā;
54</c:v>
                </c:pt>
                <c:pt idx="2">
                  <c:v>Izplatītas Latvijā;
208</c:v>
                </c:pt>
              </c:strCache>
            </c:strRef>
          </c:cat>
          <c:val>
            <c:numRef>
              <c:f>grafiki!$D$58:$D$60</c:f>
              <c:numCache>
                <c:formatCode>0%</c:formatCode>
                <c:ptCount val="3"/>
                <c:pt idx="0">
                  <c:v>1</c:v>
                </c:pt>
                <c:pt idx="1">
                  <c:v>0.43000000000000038</c:v>
                </c:pt>
                <c:pt idx="2">
                  <c:v>0.14000000000000001</c:v>
                </c:pt>
              </c:numCache>
            </c:numRef>
          </c:val>
        </c:ser>
        <c:overlap val="100"/>
        <c:axId val="149299968"/>
        <c:axId val="169943040"/>
      </c:barChart>
      <c:catAx>
        <c:axId val="149299968"/>
        <c:scaling>
          <c:orientation val="minMax"/>
        </c:scaling>
        <c:axPos val="b"/>
        <c:numFmt formatCode="General" sourceLinked="1"/>
        <c:tickLblPos val="nextTo"/>
        <c:crossAx val="169943040"/>
        <c:crosses val="autoZero"/>
        <c:auto val="1"/>
        <c:lblAlgn val="ctr"/>
        <c:lblOffset val="100"/>
      </c:catAx>
      <c:valAx>
        <c:axId val="169943040"/>
        <c:scaling>
          <c:orientation val="minMax"/>
          <c:max val="1"/>
        </c:scaling>
        <c:axPos val="l"/>
        <c:majorGridlines/>
        <c:numFmt formatCode="0%" sourceLinked="1"/>
        <c:tickLblPos val="nextTo"/>
        <c:crossAx val="149299968"/>
        <c:crosses val="autoZero"/>
        <c:crossBetween val="between"/>
        <c:majorUnit val="0.2"/>
      </c:valAx>
    </c:plotArea>
    <c:legend>
      <c:legendPos val="r"/>
      <c:layout>
        <c:manualLayout>
          <c:xMode val="edge"/>
          <c:yMode val="edge"/>
          <c:x val="0.78226538803271983"/>
          <c:y val="0.34220859560696532"/>
          <c:w val="0.20106804742792425"/>
          <c:h val="0.42669361020137975"/>
        </c:manualLayout>
      </c:layout>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style val="8"/>
  <c:chart>
    <c:plotArea>
      <c:layout>
        <c:manualLayout>
          <c:layoutTarget val="inner"/>
          <c:xMode val="edge"/>
          <c:yMode val="edge"/>
          <c:x val="8.667320254692934E-2"/>
          <c:y val="0.11895246427529892"/>
          <c:w val="0.66799393195116663"/>
          <c:h val="0.7233475815523055"/>
        </c:manualLayout>
      </c:layout>
      <c:barChart>
        <c:barDir val="col"/>
        <c:grouping val="clustered"/>
        <c:ser>
          <c:idx val="0"/>
          <c:order val="0"/>
          <c:tx>
            <c:strRef>
              <c:f>salidzin_citi_gadi!$C$81</c:f>
              <c:strCache>
                <c:ptCount val="1"/>
                <c:pt idx="0">
                  <c:v>2016</c:v>
                </c:pt>
              </c:strCache>
            </c:strRef>
          </c:tx>
          <c:spPr>
            <a:solidFill>
              <a:schemeClr val="accent6">
                <a:lumMod val="20000"/>
                <a:lumOff val="80000"/>
              </a:schemeClr>
            </a:solidFill>
            <a:ln>
              <a:solidFill>
                <a:prstClr val="black"/>
              </a:solidFill>
            </a:ln>
          </c:spPr>
          <c:dLbls>
            <c:dLbl>
              <c:idx val="0"/>
              <c:layout>
                <c:manualLayout>
                  <c:x val="-5.2424639580602884E-3"/>
                  <c:y val="1.6931216931216932E-2"/>
                </c:manualLayout>
              </c:layout>
              <c:showVal val="1"/>
            </c:dLbl>
            <c:showVal val="1"/>
          </c:dLbls>
          <c:cat>
            <c:strRef>
              <c:f>salidzin_citi_gadi!$B$82:$B$84</c:f>
              <c:strCache>
                <c:ptCount val="3"/>
                <c:pt idx="0">
                  <c:v>Neatbilstības marķējumā</c:v>
                </c:pt>
                <c:pt idx="1">
                  <c:v>Neatbilstības apgalvojumos</c:v>
                </c:pt>
                <c:pt idx="2">
                  <c:v>Neatbilstības sastāvā</c:v>
                </c:pt>
              </c:strCache>
            </c:strRef>
          </c:cat>
          <c:val>
            <c:numRef>
              <c:f>salidzin_citi_gadi!$C$82:$C$84</c:f>
              <c:numCache>
                <c:formatCode>0%</c:formatCode>
                <c:ptCount val="3"/>
                <c:pt idx="0">
                  <c:v>0.32000000000000062</c:v>
                </c:pt>
                <c:pt idx="1">
                  <c:v>1.0000000000000005E-2</c:v>
                </c:pt>
                <c:pt idx="2">
                  <c:v>6.0000000000000032E-2</c:v>
                </c:pt>
              </c:numCache>
            </c:numRef>
          </c:val>
        </c:ser>
        <c:ser>
          <c:idx val="1"/>
          <c:order val="1"/>
          <c:tx>
            <c:strRef>
              <c:f>salidzin_citi_gadi!$D$81</c:f>
              <c:strCache>
                <c:ptCount val="1"/>
                <c:pt idx="0">
                  <c:v>2017</c:v>
                </c:pt>
              </c:strCache>
            </c:strRef>
          </c:tx>
          <c:spPr>
            <a:solidFill>
              <a:schemeClr val="accent6">
                <a:lumMod val="60000"/>
                <a:lumOff val="40000"/>
              </a:schemeClr>
            </a:solidFill>
            <a:ln>
              <a:solidFill>
                <a:prstClr val="black"/>
              </a:solidFill>
            </a:ln>
          </c:spPr>
          <c:dLbls>
            <c:dLbl>
              <c:idx val="2"/>
              <c:layout>
                <c:manualLayout>
                  <c:x val="0"/>
                  <c:y val="2.1164021164021166E-2"/>
                </c:manualLayout>
              </c:layout>
              <c:showVal val="1"/>
            </c:dLbl>
            <c:showVal val="1"/>
          </c:dLbls>
          <c:cat>
            <c:strRef>
              <c:f>salidzin_citi_gadi!$B$82:$B$84</c:f>
              <c:strCache>
                <c:ptCount val="3"/>
                <c:pt idx="0">
                  <c:v>Neatbilstības marķējumā</c:v>
                </c:pt>
                <c:pt idx="1">
                  <c:v>Neatbilstības apgalvojumos</c:v>
                </c:pt>
                <c:pt idx="2">
                  <c:v>Neatbilstības sastāvā</c:v>
                </c:pt>
              </c:strCache>
            </c:strRef>
          </c:cat>
          <c:val>
            <c:numRef>
              <c:f>salidzin_citi_gadi!$D$82:$D$84</c:f>
              <c:numCache>
                <c:formatCode>0%</c:formatCode>
                <c:ptCount val="3"/>
                <c:pt idx="0">
                  <c:v>0.36000000000000032</c:v>
                </c:pt>
                <c:pt idx="1">
                  <c:v>1.0000000000000005E-2</c:v>
                </c:pt>
                <c:pt idx="2">
                  <c:v>3.0000000000000002E-2</c:v>
                </c:pt>
              </c:numCache>
            </c:numRef>
          </c:val>
        </c:ser>
        <c:ser>
          <c:idx val="2"/>
          <c:order val="2"/>
          <c:tx>
            <c:strRef>
              <c:f>salidzin_citi_gadi!$E$81</c:f>
              <c:strCache>
                <c:ptCount val="1"/>
                <c:pt idx="0">
                  <c:v>2018</c:v>
                </c:pt>
              </c:strCache>
            </c:strRef>
          </c:tx>
          <c:spPr>
            <a:solidFill>
              <a:srgbClr val="FF6600"/>
            </a:solidFill>
            <a:ln>
              <a:solidFill>
                <a:prstClr val="black"/>
              </a:solidFill>
            </a:ln>
          </c:spPr>
          <c:dPt>
            <c:idx val="0"/>
            <c:spPr>
              <a:solidFill>
                <a:srgbClr val="FF9933"/>
              </a:solidFill>
              <a:ln>
                <a:solidFill>
                  <a:prstClr val="black"/>
                </a:solidFill>
              </a:ln>
            </c:spPr>
          </c:dPt>
          <c:dLbls>
            <c:dLbl>
              <c:idx val="0"/>
              <c:layout>
                <c:manualLayout>
                  <c:x val="1.048492791612058E-2"/>
                  <c:y val="0"/>
                </c:manualLayout>
              </c:layout>
              <c:showVal val="1"/>
            </c:dLbl>
            <c:dLbl>
              <c:idx val="2"/>
              <c:layout>
                <c:manualLayout>
                  <c:x val="2.6212319790301442E-3"/>
                  <c:y val="2.1164021164021166E-2"/>
                </c:manualLayout>
              </c:layout>
              <c:showVal val="1"/>
            </c:dLbl>
            <c:showVal val="1"/>
          </c:dLbls>
          <c:cat>
            <c:strRef>
              <c:f>salidzin_citi_gadi!$B$82:$B$84</c:f>
              <c:strCache>
                <c:ptCount val="3"/>
                <c:pt idx="0">
                  <c:v>Neatbilstības marķējumā</c:v>
                </c:pt>
                <c:pt idx="1">
                  <c:v>Neatbilstības apgalvojumos</c:v>
                </c:pt>
                <c:pt idx="2">
                  <c:v>Neatbilstības sastāvā</c:v>
                </c:pt>
              </c:strCache>
            </c:strRef>
          </c:cat>
          <c:val>
            <c:numRef>
              <c:f>salidzin_citi_gadi!$E$82:$E$84</c:f>
              <c:numCache>
                <c:formatCode>0%</c:formatCode>
                <c:ptCount val="3"/>
                <c:pt idx="0">
                  <c:v>0.25</c:v>
                </c:pt>
                <c:pt idx="1">
                  <c:v>4.0000000000000022E-2</c:v>
                </c:pt>
                <c:pt idx="2">
                  <c:v>3.0000000000000002E-2</c:v>
                </c:pt>
              </c:numCache>
            </c:numRef>
          </c:val>
        </c:ser>
        <c:ser>
          <c:idx val="3"/>
          <c:order val="3"/>
          <c:tx>
            <c:strRef>
              <c:f>salidzin_citi_gadi!$F$81</c:f>
              <c:strCache>
                <c:ptCount val="1"/>
                <c:pt idx="0">
                  <c:v>Pilnais plaukts
(zobu pastas)</c:v>
                </c:pt>
              </c:strCache>
            </c:strRef>
          </c:tx>
          <c:spPr>
            <a:solidFill>
              <a:srgbClr val="C00000"/>
            </a:solidFill>
            <a:ln>
              <a:solidFill>
                <a:schemeClr val="tx1"/>
              </a:solidFill>
            </a:ln>
          </c:spPr>
          <c:dLbls>
            <c:dLbl>
              <c:idx val="0"/>
              <c:layout>
                <c:manualLayout>
                  <c:x val="1.048492791612058E-2"/>
                  <c:y val="-4.2328042328042331E-3"/>
                </c:manualLayout>
              </c:layout>
              <c:showVal val="1"/>
            </c:dLbl>
            <c:txPr>
              <a:bodyPr/>
              <a:lstStyle/>
              <a:p>
                <a:pPr>
                  <a:defRPr b="1"/>
                </a:pPr>
                <a:endParaRPr lang="en-US"/>
              </a:p>
            </c:txPr>
            <c:showVal val="1"/>
          </c:dLbls>
          <c:cat>
            <c:strRef>
              <c:f>salidzin_citi_gadi!$B$82:$B$84</c:f>
              <c:strCache>
                <c:ptCount val="3"/>
                <c:pt idx="0">
                  <c:v>Neatbilstības marķējumā</c:v>
                </c:pt>
                <c:pt idx="1">
                  <c:v>Neatbilstības apgalvojumos</c:v>
                </c:pt>
                <c:pt idx="2">
                  <c:v>Neatbilstības sastāvā</c:v>
                </c:pt>
              </c:strCache>
            </c:strRef>
          </c:cat>
          <c:val>
            <c:numRef>
              <c:f>salidzin_citi_gadi!$F$82:$F$84</c:f>
              <c:numCache>
                <c:formatCode>0%</c:formatCode>
                <c:ptCount val="3"/>
                <c:pt idx="0">
                  <c:v>0.19</c:v>
                </c:pt>
                <c:pt idx="1">
                  <c:v>1.0000000000000005E-2</c:v>
                </c:pt>
                <c:pt idx="2" formatCode="General">
                  <c:v>0</c:v>
                </c:pt>
              </c:numCache>
            </c:numRef>
          </c:val>
        </c:ser>
        <c:axId val="221552000"/>
        <c:axId val="221627520"/>
      </c:barChart>
      <c:catAx>
        <c:axId val="221552000"/>
        <c:scaling>
          <c:orientation val="minMax"/>
        </c:scaling>
        <c:axPos val="b"/>
        <c:tickLblPos val="nextTo"/>
        <c:crossAx val="221627520"/>
        <c:crosses val="autoZero"/>
        <c:auto val="1"/>
        <c:lblAlgn val="ctr"/>
        <c:lblOffset val="100"/>
      </c:catAx>
      <c:valAx>
        <c:axId val="221627520"/>
        <c:scaling>
          <c:orientation val="minMax"/>
        </c:scaling>
        <c:axPos val="l"/>
        <c:majorGridlines/>
        <c:numFmt formatCode="0%" sourceLinked="1"/>
        <c:tickLblPos val="nextTo"/>
        <c:crossAx val="221552000"/>
        <c:crosses val="autoZero"/>
        <c:crossBetween val="between"/>
      </c:valAx>
    </c:plotArea>
    <c:legend>
      <c:legendPos val="r"/>
      <c:legendEntry>
        <c:idx val="3"/>
        <c:txPr>
          <a:bodyPr/>
          <a:lstStyle/>
          <a:p>
            <a:pPr>
              <a:defRPr b="1"/>
            </a:pPr>
            <a:endParaRPr lang="en-US"/>
          </a:p>
        </c:txPr>
      </c:legendEntry>
      <c:layout/>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style val="8"/>
  <c:chart>
    <c:plotArea>
      <c:layout>
        <c:manualLayout>
          <c:layoutTarget val="inner"/>
          <c:xMode val="edge"/>
          <c:yMode val="edge"/>
          <c:x val="0.41136923550163368"/>
          <c:y val="3.5930484417603152E-2"/>
          <c:w val="0.37505119247903784"/>
          <c:h val="0.92087107923390765"/>
        </c:manualLayout>
      </c:layout>
      <c:barChart>
        <c:barDir val="bar"/>
        <c:grouping val="clustered"/>
        <c:ser>
          <c:idx val="0"/>
          <c:order val="0"/>
          <c:tx>
            <c:strRef>
              <c:f>tikai_zobu_pastu_salidzin!$C$24</c:f>
              <c:strCache>
                <c:ptCount val="1"/>
                <c:pt idx="0">
                  <c:v>Zobu pastas ar neatbilstībām "Pilnajā plauktā"</c:v>
                </c:pt>
              </c:strCache>
            </c:strRef>
          </c:tx>
          <c:spPr>
            <a:solidFill>
              <a:srgbClr val="FF9933"/>
            </a:solidFill>
            <a:ln>
              <a:solidFill>
                <a:prstClr val="black"/>
              </a:solidFill>
            </a:ln>
          </c:spPr>
          <c:dLbls>
            <c:txPr>
              <a:bodyPr/>
              <a:lstStyle/>
              <a:p>
                <a:pPr>
                  <a:defRPr sz="1000" b="0" i="0" u="none" strike="noStrike" baseline="0">
                    <a:solidFill>
                      <a:srgbClr val="000000"/>
                    </a:solidFill>
                    <a:latin typeface="Calibri"/>
                    <a:ea typeface="Calibri"/>
                    <a:cs typeface="Calibri"/>
                  </a:defRPr>
                </a:pPr>
                <a:endParaRPr lang="en-US"/>
              </a:p>
            </c:txPr>
            <c:showVal val="1"/>
          </c:dLbls>
          <c:cat>
            <c:strRef>
              <c:f>tikai_zobu_pastu_salidzin!$B$25:$B$33</c:f>
              <c:strCache>
                <c:ptCount val="9"/>
                <c:pt idx="0">
                  <c:v>Marķējumā nav nodrošināta informācija valsts valodā</c:v>
                </c:pt>
                <c:pt idx="1">
                  <c:v>Marķējums nav nodrošināts vai nav salasāms</c:v>
                </c:pt>
                <c:pt idx="2">
                  <c:v>Nav norādīts atbildīgās personas nosaukums, adrese</c:v>
                </c:pt>
                <c:pt idx="3">
                  <c:v>Derīguma termiņš nav "ieteicams līdz " vai smilšupulksteņa veidā</c:v>
                </c:pt>
                <c:pt idx="4">
                  <c:v>Nav norādīti uzglabāšanas nosacījumi</c:v>
                </c:pt>
                <c:pt idx="5">
                  <c:v>Sastāvdaļu nosaukumi nav INCI nomenklatūrā</c:v>
                </c:pt>
                <c:pt idx="6">
                  <c:v>Nav norādītas sastāvdaļas</c:v>
                </c:pt>
                <c:pt idx="7">
                  <c:v>Marķējumā norādītas īpašības, kas nepiemīt kosmētikas līdzekļiem</c:v>
                </c:pt>
                <c:pt idx="8">
                  <c:v>Nav norādīti piesardzības pasākumi, kas jāievēro lietošanā</c:v>
                </c:pt>
              </c:strCache>
            </c:strRef>
          </c:cat>
          <c:val>
            <c:numRef>
              <c:f>tikai_zobu_pastu_salidzin!$C$25:$C$33</c:f>
              <c:numCache>
                <c:formatCode>0.00%</c:formatCode>
                <c:ptCount val="9"/>
                <c:pt idx="0" formatCode="General">
                  <c:v>0</c:v>
                </c:pt>
                <c:pt idx="1">
                  <c:v>2.0000000000000018E-3</c:v>
                </c:pt>
                <c:pt idx="2" formatCode="0.0%">
                  <c:v>7.0000000000000036E-3</c:v>
                </c:pt>
                <c:pt idx="3" formatCode="0.0%">
                  <c:v>1.7000000000000001E-2</c:v>
                </c:pt>
                <c:pt idx="4" formatCode="0.0%">
                  <c:v>5.0000000000000036E-3</c:v>
                </c:pt>
                <c:pt idx="5" formatCode="0.0%">
                  <c:v>2.0000000000000018E-3</c:v>
                </c:pt>
                <c:pt idx="6" formatCode="0.0%">
                  <c:v>7.0000000000000036E-3</c:v>
                </c:pt>
                <c:pt idx="7" formatCode="0.0%">
                  <c:v>7.0000000000000036E-3</c:v>
                </c:pt>
                <c:pt idx="8" formatCode="0%">
                  <c:v>0.1470000000000001</c:v>
                </c:pt>
              </c:numCache>
            </c:numRef>
          </c:val>
        </c:ser>
        <c:ser>
          <c:idx val="1"/>
          <c:order val="1"/>
          <c:tx>
            <c:strRef>
              <c:f>tikai_zobu_pastu_salidzin!$D$24</c:f>
              <c:strCache>
                <c:ptCount val="1"/>
                <c:pt idx="0">
                  <c:v>Zobu pastas ar neatbilstībām 2018.g.</c:v>
                </c:pt>
              </c:strCache>
            </c:strRef>
          </c:tx>
          <c:spPr>
            <a:solidFill>
              <a:schemeClr val="accent6">
                <a:lumMod val="40000"/>
                <a:lumOff val="60000"/>
              </a:schemeClr>
            </a:solidFill>
            <a:ln>
              <a:solidFill>
                <a:schemeClr val="tx1"/>
              </a:solidFill>
            </a:ln>
          </c:spPr>
          <c:dLbls>
            <c:txPr>
              <a:bodyPr/>
              <a:lstStyle/>
              <a:p>
                <a:pPr>
                  <a:defRPr sz="1000" b="0" i="0" u="none" strike="noStrike" baseline="0">
                    <a:solidFill>
                      <a:srgbClr val="000000"/>
                    </a:solidFill>
                    <a:latin typeface="Calibri"/>
                    <a:ea typeface="Calibri"/>
                    <a:cs typeface="Calibri"/>
                  </a:defRPr>
                </a:pPr>
                <a:endParaRPr lang="en-US"/>
              </a:p>
            </c:txPr>
            <c:showVal val="1"/>
          </c:dLbls>
          <c:cat>
            <c:strRef>
              <c:f>tikai_zobu_pastu_salidzin!$B$25:$B$33</c:f>
              <c:strCache>
                <c:ptCount val="9"/>
                <c:pt idx="0">
                  <c:v>Marķējumā nav nodrošināta informācija valsts valodā</c:v>
                </c:pt>
                <c:pt idx="1">
                  <c:v>Marķējums nav nodrošināts vai nav salasāms</c:v>
                </c:pt>
                <c:pt idx="2">
                  <c:v>Nav norādīts atbildīgās personas nosaukums, adrese</c:v>
                </c:pt>
                <c:pt idx="3">
                  <c:v>Derīguma termiņš nav "ieteicams līdz " vai smilšupulksteņa veidā</c:v>
                </c:pt>
                <c:pt idx="4">
                  <c:v>Nav norādīti uzglabāšanas nosacījumi</c:v>
                </c:pt>
                <c:pt idx="5">
                  <c:v>Sastāvdaļu nosaukumi nav INCI nomenklatūrā</c:v>
                </c:pt>
                <c:pt idx="6">
                  <c:v>Nav norādītas sastāvdaļas</c:v>
                </c:pt>
                <c:pt idx="7">
                  <c:v>Marķējumā norādītas īpašības, kas nepiemīt kosmētikas līdzekļiem</c:v>
                </c:pt>
                <c:pt idx="8">
                  <c:v>Nav norādīti piesardzības pasākumi, kas jāievēro lietošanā</c:v>
                </c:pt>
              </c:strCache>
            </c:strRef>
          </c:cat>
          <c:val>
            <c:numRef>
              <c:f>tikai_zobu_pastu_salidzin!$D$25:$D$33</c:f>
              <c:numCache>
                <c:formatCode>0%</c:formatCode>
                <c:ptCount val="9"/>
                <c:pt idx="0" formatCode="0.00%">
                  <c:v>1.8499999999999999E-2</c:v>
                </c:pt>
                <c:pt idx="1">
                  <c:v>0</c:v>
                </c:pt>
                <c:pt idx="2" formatCode="0.00%">
                  <c:v>1.8499999999999999E-2</c:v>
                </c:pt>
                <c:pt idx="3">
                  <c:v>0</c:v>
                </c:pt>
                <c:pt idx="4">
                  <c:v>0</c:v>
                </c:pt>
                <c:pt idx="5" formatCode="0.00%">
                  <c:v>1.8499999999999999E-2</c:v>
                </c:pt>
                <c:pt idx="6" formatCode="0.00%">
                  <c:v>1.8499999999999999E-2</c:v>
                </c:pt>
                <c:pt idx="7">
                  <c:v>0</c:v>
                </c:pt>
                <c:pt idx="8" formatCode="0.00%">
                  <c:v>5.5500000000000022E-2</c:v>
                </c:pt>
              </c:numCache>
            </c:numRef>
          </c:val>
        </c:ser>
        <c:axId val="222848128"/>
        <c:axId val="222849664"/>
      </c:barChart>
      <c:catAx>
        <c:axId val="222848128"/>
        <c:scaling>
          <c:orientation val="minMax"/>
        </c:scaling>
        <c:axPos val="l"/>
        <c:numFmt formatCode="General" sourceLinked="1"/>
        <c:tickLblPos val="nextTo"/>
        <c:spPr>
          <a:noFill/>
          <a:ln>
            <a:solidFill>
              <a:prstClr val="black"/>
            </a:solidFill>
          </a:ln>
        </c:spPr>
        <c:txPr>
          <a:bodyPr rot="0" vert="horz"/>
          <a:lstStyle/>
          <a:p>
            <a:pPr>
              <a:defRPr sz="1000" b="0" i="0" u="none" strike="noStrike" baseline="0">
                <a:solidFill>
                  <a:srgbClr val="000000"/>
                </a:solidFill>
                <a:latin typeface="Calibri"/>
                <a:ea typeface="Calibri"/>
                <a:cs typeface="Calibri"/>
              </a:defRPr>
            </a:pPr>
            <a:endParaRPr lang="en-US"/>
          </a:p>
        </c:txPr>
        <c:crossAx val="222849664"/>
        <c:crosses val="autoZero"/>
        <c:auto val="1"/>
        <c:lblAlgn val="ctr"/>
        <c:lblOffset val="100"/>
      </c:catAx>
      <c:valAx>
        <c:axId val="222849664"/>
        <c:scaling>
          <c:orientation val="minMax"/>
          <c:max val="0.15000000000000022"/>
        </c:scaling>
        <c:axPos val="b"/>
        <c:majorGridlines/>
        <c:numFmt formatCode="General" sourceLinked="1"/>
        <c:tickLblPos val="none"/>
        <c:crossAx val="222848128"/>
        <c:crosses val="autoZero"/>
        <c:crossBetween val="between"/>
        <c:minorUnit val="1.0000000000000005E-2"/>
      </c:valAx>
    </c:plotArea>
    <c:legend>
      <c:legendPos val="r"/>
      <c:layout>
        <c:manualLayout>
          <c:xMode val="edge"/>
          <c:yMode val="edge"/>
          <c:x val="0.81561559451908761"/>
          <c:y val="0.21790990923270651"/>
          <c:w val="0.17333463428595586"/>
          <c:h val="0.30578643063411831"/>
        </c:manualLayout>
      </c:layout>
      <c:txPr>
        <a:bodyPr/>
        <a:lstStyle/>
        <a:p>
          <a:pPr>
            <a:defRPr sz="920" b="0" i="0" u="none" strike="noStrike" baseline="0">
              <a:solidFill>
                <a:srgbClr val="000000"/>
              </a:solidFill>
              <a:latin typeface="Calibri"/>
              <a:ea typeface="Calibri"/>
              <a:cs typeface="Calibri"/>
            </a:defRPr>
          </a:pPr>
          <a:endParaRPr lang="en-US"/>
        </a:p>
      </c:txPr>
    </c:legend>
    <c:plotVisOnly val="1"/>
    <c:dispBlanksAs val="gap"/>
  </c:chart>
  <c:txPr>
    <a:bodyPr/>
    <a:lstStyle/>
    <a:p>
      <a:pPr>
        <a:defRPr sz="1000" b="0" i="0" u="none" strike="noStrike" baseline="0">
          <a:solidFill>
            <a:srgbClr val="000000"/>
          </a:solidFill>
          <a:latin typeface="Calibri"/>
          <a:ea typeface="Calibri"/>
          <a:cs typeface="Calibri"/>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A6FC03-637C-442F-BC1D-179BB30E0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962</Words>
  <Characters>5485</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sintijae</dc:creator>
  <cp:lastModifiedBy>karinad</cp:lastModifiedBy>
  <cp:revision>2</cp:revision>
  <dcterms:created xsi:type="dcterms:W3CDTF">2021-02-04T14:10:00Z</dcterms:created>
  <dcterms:modified xsi:type="dcterms:W3CDTF">2021-02-04T14:10:00Z</dcterms:modified>
</cp:coreProperties>
</file>